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7F" w:rsidRDefault="0062507F" w:rsidP="0062507F">
      <w:pPr>
        <w:rPr>
          <w:rFonts w:ascii="黑体" w:eastAsia="黑体" w:hAnsi="黑体"/>
          <w:sz w:val="32"/>
          <w:szCs w:val="32"/>
        </w:rPr>
      </w:pPr>
      <w:r w:rsidRPr="00706232">
        <w:rPr>
          <w:rFonts w:ascii="黑体" w:eastAsia="黑体" w:hAnsi="黑体" w:hint="eastAsia"/>
          <w:sz w:val="32"/>
          <w:szCs w:val="32"/>
        </w:rPr>
        <w:t>附件</w:t>
      </w:r>
    </w:p>
    <w:p w:rsidR="0062507F" w:rsidRPr="00706232" w:rsidRDefault="0062507F" w:rsidP="0062507F">
      <w:pPr>
        <w:jc w:val="center"/>
        <w:rPr>
          <w:rFonts w:ascii="方正小标宋简体" w:eastAsia="方正小标宋简体"/>
          <w:sz w:val="36"/>
          <w:szCs w:val="36"/>
        </w:rPr>
      </w:pPr>
      <w:r w:rsidRPr="009D63BA">
        <w:rPr>
          <w:rFonts w:ascii="方正小标宋简体" w:eastAsia="方正小标宋简体"/>
          <w:sz w:val="36"/>
          <w:szCs w:val="36"/>
        </w:rPr>
        <w:t>29个</w:t>
      </w:r>
      <w:r w:rsidRPr="0027293F">
        <w:rPr>
          <w:rFonts w:ascii="方正小标宋简体" w:eastAsia="方正小标宋简体"/>
          <w:sz w:val="36"/>
          <w:szCs w:val="36"/>
        </w:rPr>
        <w:t>ICH三级指导原则</w:t>
      </w:r>
      <w:r>
        <w:rPr>
          <w:rFonts w:ascii="方正小标宋简体" w:eastAsia="方正小标宋简体" w:hint="eastAsia"/>
          <w:sz w:val="36"/>
          <w:szCs w:val="36"/>
        </w:rPr>
        <w:t>转化</w:t>
      </w:r>
      <w:r w:rsidRPr="0027293F">
        <w:rPr>
          <w:rFonts w:ascii="方正小标宋简体" w:eastAsia="方正小标宋简体"/>
          <w:sz w:val="36"/>
          <w:szCs w:val="36"/>
        </w:rPr>
        <w:t>实施建议</w:t>
      </w:r>
    </w:p>
    <w:tbl>
      <w:tblPr>
        <w:tblStyle w:val="11"/>
        <w:tblW w:w="5130" w:type="pct"/>
        <w:tblLook w:val="04A0" w:firstRow="1" w:lastRow="0" w:firstColumn="1" w:lastColumn="0" w:noHBand="0" w:noVBand="1"/>
      </w:tblPr>
      <w:tblGrid>
        <w:gridCol w:w="848"/>
        <w:gridCol w:w="2267"/>
        <w:gridCol w:w="5100"/>
        <w:gridCol w:w="6096"/>
      </w:tblGrid>
      <w:tr w:rsidR="0062507F" w:rsidRPr="0027293F" w:rsidTr="00621458">
        <w:trPr>
          <w:cantSplit/>
          <w:tblHeader/>
        </w:trPr>
        <w:tc>
          <w:tcPr>
            <w:tcW w:w="296" w:type="pct"/>
          </w:tcPr>
          <w:p w:rsidR="0062507F" w:rsidRPr="0027293F" w:rsidRDefault="0062507F" w:rsidP="00621458">
            <w:pPr>
              <w:jc w:val="center"/>
              <w:rPr>
                <w:rFonts w:ascii="仿宋_GB2312" w:eastAsia="仿宋_GB2312" w:hAnsi="等线" w:cs="Times New Roman"/>
                <w:b/>
                <w:sz w:val="24"/>
                <w:szCs w:val="24"/>
              </w:rPr>
            </w:pPr>
            <w:r w:rsidRPr="0027293F">
              <w:rPr>
                <w:rFonts w:ascii="仿宋_GB2312" w:eastAsia="仿宋_GB2312" w:hAnsi="等线" w:cs="Times New Roman" w:hint="eastAsia"/>
                <w:b/>
                <w:sz w:val="24"/>
                <w:szCs w:val="24"/>
              </w:rPr>
              <w:t>序号</w:t>
            </w:r>
          </w:p>
        </w:tc>
        <w:tc>
          <w:tcPr>
            <w:tcW w:w="792" w:type="pct"/>
          </w:tcPr>
          <w:p w:rsidR="0062507F" w:rsidRPr="0027293F" w:rsidRDefault="0062507F" w:rsidP="00621458">
            <w:pPr>
              <w:jc w:val="center"/>
              <w:rPr>
                <w:rFonts w:ascii="仿宋_GB2312" w:eastAsia="仿宋_GB2312" w:hAnsi="等线" w:cs="Times New Roman"/>
                <w:b/>
                <w:sz w:val="24"/>
                <w:szCs w:val="24"/>
              </w:rPr>
            </w:pPr>
            <w:r w:rsidRPr="0027293F">
              <w:rPr>
                <w:rFonts w:ascii="仿宋_GB2312" w:eastAsia="仿宋_GB2312" w:hAnsi="等线" w:cs="Times New Roman" w:hint="eastAsia"/>
                <w:b/>
                <w:sz w:val="24"/>
                <w:szCs w:val="24"/>
              </w:rPr>
              <w:t>编码</w:t>
            </w:r>
          </w:p>
        </w:tc>
        <w:tc>
          <w:tcPr>
            <w:tcW w:w="1782" w:type="pct"/>
          </w:tcPr>
          <w:p w:rsidR="0062507F" w:rsidRPr="0027293F" w:rsidRDefault="0062507F" w:rsidP="00621458">
            <w:pPr>
              <w:jc w:val="center"/>
              <w:rPr>
                <w:rFonts w:ascii="仿宋_GB2312" w:eastAsia="仿宋_GB2312" w:hAnsi="等线" w:cs="Times New Roman"/>
                <w:b/>
                <w:sz w:val="24"/>
                <w:szCs w:val="24"/>
              </w:rPr>
            </w:pPr>
            <w:r w:rsidRPr="0027293F">
              <w:rPr>
                <w:rFonts w:ascii="仿宋_GB2312" w:eastAsia="仿宋_GB2312" w:hAnsi="等线" w:cs="Times New Roman" w:hint="eastAsia"/>
                <w:b/>
                <w:sz w:val="24"/>
                <w:szCs w:val="24"/>
              </w:rPr>
              <w:t>中文</w:t>
            </w:r>
            <w:r w:rsidRPr="0027293F">
              <w:rPr>
                <w:rFonts w:ascii="仿宋_GB2312" w:eastAsia="仿宋_GB2312" w:hAnsi="等线" w:cs="Times New Roman"/>
                <w:b/>
                <w:sz w:val="24"/>
                <w:szCs w:val="24"/>
              </w:rPr>
              <w:t>名称</w:t>
            </w:r>
          </w:p>
        </w:tc>
        <w:tc>
          <w:tcPr>
            <w:tcW w:w="2130" w:type="pct"/>
          </w:tcPr>
          <w:p w:rsidR="0062507F" w:rsidRPr="0027293F" w:rsidRDefault="0062507F" w:rsidP="00621458">
            <w:pPr>
              <w:jc w:val="center"/>
              <w:rPr>
                <w:rFonts w:ascii="仿宋_GB2312" w:eastAsia="仿宋_GB2312" w:hAnsi="等线" w:cs="Times New Roman"/>
                <w:b/>
                <w:sz w:val="24"/>
                <w:szCs w:val="24"/>
              </w:rPr>
            </w:pPr>
            <w:r w:rsidRPr="0027293F">
              <w:rPr>
                <w:rFonts w:ascii="仿宋_GB2312" w:eastAsia="仿宋_GB2312" w:hAnsi="等线" w:cs="Times New Roman" w:hint="eastAsia"/>
                <w:b/>
                <w:sz w:val="24"/>
                <w:szCs w:val="24"/>
              </w:rPr>
              <w:t>实施</w:t>
            </w:r>
            <w:r w:rsidRPr="0027293F">
              <w:rPr>
                <w:rFonts w:ascii="仿宋_GB2312" w:eastAsia="仿宋_GB2312" w:hAnsi="等线" w:cs="Times New Roman"/>
                <w:b/>
                <w:sz w:val="24"/>
                <w:szCs w:val="24"/>
              </w:rPr>
              <w:t>建议</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E1</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用于评估长期治疗非危及生命性疾病的药物临床安全性的人群暴露程度</w:t>
            </w:r>
          </w:p>
        </w:tc>
        <w:tc>
          <w:tcPr>
            <w:tcW w:w="2130" w:type="pct"/>
            <w:vAlign w:val="center"/>
          </w:tcPr>
          <w:p w:rsidR="0062507F" w:rsidRPr="0027293F" w:rsidRDefault="0062507F" w:rsidP="00621458">
            <w:pPr>
              <w:widowControl/>
              <w:jc w:val="left"/>
              <w:rPr>
                <w:rFonts w:ascii="仿宋_GB2312" w:eastAsia="仿宋_GB2312" w:hAnsi="等线" w:cs="Times New Roman"/>
                <w:sz w:val="24"/>
                <w:szCs w:val="24"/>
              </w:rPr>
            </w:pPr>
            <w:r w:rsidRPr="0027293F">
              <w:rPr>
                <w:rFonts w:ascii="仿宋_GB2312" w:eastAsia="仿宋_GB2312" w:hAnsi="华文仿宋" w:cs="Times New Roman" w:hint="eastAsia"/>
                <w:sz w:val="24"/>
                <w:szCs w:val="24"/>
              </w:rPr>
              <w:t>自</w:t>
            </w:r>
            <w:r w:rsidRPr="0027293F">
              <w:rPr>
                <w:rFonts w:ascii="仿宋_GB2312" w:eastAsia="仿宋_GB2312" w:hAnsi="等线" w:cs="Times New Roman" w:hint="eastAsia"/>
                <w:sz w:val="24"/>
                <w:szCs w:val="24"/>
              </w:rPr>
              <w:t>发布公告之日起6个月后，批准的临床试验申请。</w:t>
            </w:r>
          </w:p>
          <w:p w:rsidR="0062507F" w:rsidRPr="0027293F" w:rsidRDefault="0062507F" w:rsidP="00621458">
            <w:pPr>
              <w:widowControl/>
              <w:jc w:val="left"/>
              <w:rPr>
                <w:rFonts w:ascii="仿宋_GB2312" w:eastAsia="仿宋_GB2312" w:hAnsi="华文仿宋" w:cs="Times New Roman"/>
                <w:sz w:val="24"/>
                <w:szCs w:val="24"/>
              </w:rPr>
            </w:pPr>
            <w:r w:rsidRPr="0027293F">
              <w:rPr>
                <w:rFonts w:ascii="仿宋_GB2312" w:eastAsia="仿宋_GB2312" w:hAnsi="华文仿宋" w:cs="Times New Roman" w:hint="eastAsia"/>
                <w:sz w:val="24"/>
                <w:szCs w:val="24"/>
              </w:rPr>
              <w:t>自</w:t>
            </w:r>
            <w:r w:rsidRPr="0027293F">
              <w:rPr>
                <w:rFonts w:ascii="仿宋_GB2312" w:eastAsia="仿宋_GB2312" w:hAnsi="等线" w:cs="Times New Roman" w:hint="eastAsia"/>
                <w:sz w:val="24"/>
                <w:szCs w:val="24"/>
              </w:rPr>
              <w:t>发布公告之日起3年后，</w:t>
            </w:r>
            <w:r w:rsidRPr="0027293F">
              <w:rPr>
                <w:rFonts w:ascii="仿宋_GB2312" w:eastAsia="仿宋_GB2312" w:hAnsi="等线" w:cs="Times New Roman"/>
                <w:sz w:val="24"/>
                <w:szCs w:val="24"/>
              </w:rPr>
              <w:t>受理的</w:t>
            </w:r>
            <w:r w:rsidRPr="0027293F">
              <w:rPr>
                <w:rFonts w:ascii="仿宋_GB2312" w:eastAsia="仿宋_GB2312" w:hAnsi="等线" w:cs="Times New Roman" w:hint="eastAsia"/>
                <w:sz w:val="24"/>
                <w:szCs w:val="24"/>
              </w:rPr>
              <w:t>新药上市申请。</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E2E</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药物警戒计划</w:t>
            </w:r>
          </w:p>
        </w:tc>
        <w:tc>
          <w:tcPr>
            <w:tcW w:w="2130" w:type="pct"/>
            <w:vAlign w:val="center"/>
          </w:tcPr>
          <w:p w:rsidR="0062507F" w:rsidRPr="0027293F" w:rsidRDefault="0062507F" w:rsidP="00621458">
            <w:pPr>
              <w:jc w:val="left"/>
              <w:rPr>
                <w:rFonts w:ascii="仿宋_GB2312" w:eastAsia="仿宋_GB2312" w:hAnsi="华文仿宋" w:cs="宋体"/>
                <w:kern w:val="0"/>
                <w:sz w:val="24"/>
                <w:szCs w:val="24"/>
              </w:rPr>
            </w:pPr>
            <w:r w:rsidRPr="0027293F">
              <w:rPr>
                <w:rFonts w:ascii="仿宋_GB2312" w:eastAsia="仿宋_GB2312" w:hAnsi="等线" w:cs="Times New Roman"/>
                <w:sz w:val="24"/>
                <w:szCs w:val="24"/>
              </w:rPr>
              <w:t>自发布公告之日起3个月后，受理的新药上市申请。</w:t>
            </w:r>
            <w:r w:rsidRPr="0027293F">
              <w:rPr>
                <w:rFonts w:ascii="仿宋_GB2312" w:eastAsia="仿宋_GB2312" w:hAnsi="等线" w:cs="Times New Roman" w:hint="eastAsia"/>
                <w:sz w:val="24"/>
                <w:szCs w:val="24"/>
              </w:rPr>
              <w:t>自发布公告之日起</w:t>
            </w:r>
            <w:r w:rsidRPr="0027293F">
              <w:rPr>
                <w:rFonts w:ascii="仿宋_GB2312" w:eastAsia="仿宋_GB2312" w:hAnsi="等线" w:cs="Times New Roman"/>
                <w:sz w:val="24"/>
                <w:szCs w:val="24"/>
              </w:rPr>
              <w:t>6个月后，批准的新药上市申请。</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E2F及其</w:t>
            </w:r>
            <w:r w:rsidRPr="0027293F">
              <w:rPr>
                <w:rFonts w:ascii="仿宋_GB2312" w:eastAsia="仿宋_GB2312" w:hAnsi="华文仿宋" w:cs="宋体"/>
                <w:kern w:val="0"/>
                <w:sz w:val="24"/>
                <w:szCs w:val="24"/>
              </w:rPr>
              <w:t>示例</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研发安全性更新报告</w:t>
            </w:r>
          </w:p>
        </w:tc>
        <w:tc>
          <w:tcPr>
            <w:tcW w:w="2130" w:type="pct"/>
            <w:vAlign w:val="center"/>
          </w:tcPr>
          <w:p w:rsidR="0062507F" w:rsidRPr="0027293F" w:rsidRDefault="0062507F" w:rsidP="00621458">
            <w:pPr>
              <w:jc w:val="left"/>
              <w:rPr>
                <w:rFonts w:ascii="仿宋_GB2312" w:eastAsia="仿宋_GB2312" w:hAnsi="华文仿宋" w:cs="宋体"/>
                <w:kern w:val="0"/>
                <w:sz w:val="24"/>
                <w:szCs w:val="24"/>
              </w:rPr>
            </w:pPr>
            <w:r w:rsidRPr="0027293F">
              <w:rPr>
                <w:rFonts w:ascii="仿宋_GB2312" w:eastAsia="仿宋_GB2312" w:hAnsi="华文仿宋" w:cs="Times New Roman" w:hint="eastAsia"/>
                <w:sz w:val="24"/>
                <w:szCs w:val="24"/>
              </w:rPr>
              <w:t>自</w:t>
            </w:r>
            <w:r w:rsidRPr="0027293F">
              <w:rPr>
                <w:rFonts w:ascii="仿宋_GB2312" w:eastAsia="仿宋_GB2312" w:hAnsi="华文仿宋" w:cs="宋体" w:hint="eastAsia"/>
                <w:kern w:val="0"/>
                <w:sz w:val="24"/>
                <w:szCs w:val="24"/>
              </w:rPr>
              <w:t>发布公告之日起立即实施。</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E3/E3 Q&amp;As（R1）</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临床研究报告的结构与内容</w:t>
            </w:r>
          </w:p>
        </w:tc>
        <w:tc>
          <w:tcPr>
            <w:tcW w:w="2130" w:type="pct"/>
            <w:vAlign w:val="center"/>
          </w:tcPr>
          <w:p w:rsidR="0062507F" w:rsidRPr="0027293F" w:rsidRDefault="0062507F" w:rsidP="00621458">
            <w:pPr>
              <w:jc w:val="left"/>
              <w:rPr>
                <w:rFonts w:ascii="仿宋_GB2312" w:eastAsia="仿宋_GB2312" w:hAnsi="华文仿宋" w:cs="宋体"/>
                <w:kern w:val="0"/>
                <w:sz w:val="24"/>
                <w:szCs w:val="24"/>
              </w:rPr>
            </w:pPr>
            <w:r w:rsidRPr="0027293F">
              <w:rPr>
                <w:rFonts w:ascii="仿宋_GB2312" w:eastAsia="仿宋_GB2312" w:hAnsi="华文仿宋" w:cs="Times New Roman" w:hint="eastAsia"/>
                <w:sz w:val="24"/>
                <w:szCs w:val="24"/>
              </w:rPr>
              <w:t>自</w:t>
            </w:r>
            <w:r w:rsidRPr="0027293F">
              <w:rPr>
                <w:rFonts w:ascii="仿宋_GB2312" w:eastAsia="仿宋_GB2312" w:hAnsi="等线" w:cs="Times New Roman" w:hint="eastAsia"/>
                <w:sz w:val="24"/>
                <w:szCs w:val="24"/>
              </w:rPr>
              <w:t>发布公告之日起6个月后，受理</w:t>
            </w:r>
            <w:r w:rsidRPr="0027293F">
              <w:rPr>
                <w:rFonts w:ascii="仿宋_GB2312" w:eastAsia="仿宋_GB2312" w:hAnsi="等线" w:cs="Times New Roman"/>
                <w:sz w:val="24"/>
                <w:szCs w:val="24"/>
              </w:rPr>
              <w:t>的</w:t>
            </w:r>
            <w:r w:rsidRPr="0027293F">
              <w:rPr>
                <w:rFonts w:ascii="仿宋_GB2312" w:eastAsia="仿宋_GB2312" w:hAnsi="等线" w:cs="Times New Roman" w:hint="eastAsia"/>
                <w:sz w:val="24"/>
                <w:szCs w:val="24"/>
              </w:rPr>
              <w:t>新药上市申请。</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E4</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用于支持药物注册的剂量反应信息</w:t>
            </w:r>
          </w:p>
        </w:tc>
        <w:tc>
          <w:tcPr>
            <w:tcW w:w="2130" w:type="pct"/>
            <w:vAlign w:val="center"/>
          </w:tcPr>
          <w:p w:rsidR="0062507F" w:rsidRPr="0027293F" w:rsidRDefault="0062507F" w:rsidP="00621458">
            <w:pPr>
              <w:widowControl/>
              <w:jc w:val="left"/>
              <w:rPr>
                <w:rFonts w:ascii="仿宋_GB2312" w:eastAsia="仿宋_GB2312" w:hAnsi="华文仿宋" w:cs="Times New Roman"/>
                <w:sz w:val="24"/>
                <w:szCs w:val="24"/>
              </w:rPr>
            </w:pPr>
            <w:r w:rsidRPr="0027293F">
              <w:rPr>
                <w:rFonts w:ascii="仿宋_GB2312" w:eastAsia="仿宋_GB2312" w:hAnsi="华文仿宋" w:cs="Times New Roman" w:hint="eastAsia"/>
                <w:sz w:val="24"/>
                <w:szCs w:val="24"/>
              </w:rPr>
              <w:t>自</w:t>
            </w:r>
            <w:r w:rsidRPr="0027293F">
              <w:rPr>
                <w:rFonts w:ascii="仿宋_GB2312" w:eastAsia="仿宋_GB2312" w:hAnsi="宋体" w:cs="Times New Roman" w:hint="eastAsia"/>
                <w:kern w:val="0"/>
                <w:sz w:val="24"/>
                <w:szCs w:val="24"/>
              </w:rPr>
              <w:t>发布公告之日起</w:t>
            </w:r>
            <w:r w:rsidRPr="0027293F">
              <w:rPr>
                <w:rFonts w:ascii="仿宋_GB2312" w:eastAsia="仿宋_GB2312" w:hAnsi="Times New Roman" w:cs="Times New Roman" w:hint="eastAsia"/>
                <w:kern w:val="0"/>
                <w:sz w:val="24"/>
                <w:szCs w:val="24"/>
              </w:rPr>
              <w:t>6</w:t>
            </w:r>
            <w:r w:rsidRPr="0027293F">
              <w:rPr>
                <w:rFonts w:ascii="仿宋_GB2312" w:eastAsia="仿宋_GB2312" w:hAnsi="宋体" w:cs="Times New Roman" w:hint="eastAsia"/>
                <w:kern w:val="0"/>
                <w:sz w:val="24"/>
                <w:szCs w:val="24"/>
              </w:rPr>
              <w:t>个月后正式实施。</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E5(R1)/E5 Q&amp;As (R1)</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国外临床数据可接受性的种族因素</w:t>
            </w:r>
          </w:p>
        </w:tc>
        <w:tc>
          <w:tcPr>
            <w:tcW w:w="2130" w:type="pct"/>
            <w:vAlign w:val="center"/>
          </w:tcPr>
          <w:p w:rsidR="0062507F" w:rsidRPr="0027293F" w:rsidRDefault="0062507F" w:rsidP="00621458">
            <w:pPr>
              <w:widowControl/>
              <w:jc w:val="left"/>
              <w:rPr>
                <w:rFonts w:ascii="仿宋_GB2312" w:eastAsia="仿宋_GB2312" w:hAnsi="华文仿宋" w:cs="Times New Roman"/>
                <w:sz w:val="24"/>
                <w:szCs w:val="24"/>
              </w:rPr>
            </w:pPr>
            <w:r>
              <w:rPr>
                <w:rFonts w:ascii="仿宋_GB2312" w:eastAsia="仿宋_GB2312" w:hAnsi="宋体" w:cs="Times New Roman" w:hint="eastAsia"/>
                <w:kern w:val="0"/>
                <w:sz w:val="24"/>
                <w:szCs w:val="24"/>
              </w:rPr>
              <w:t>自</w:t>
            </w:r>
            <w:r w:rsidRPr="0027293F">
              <w:rPr>
                <w:rFonts w:ascii="仿宋_GB2312" w:eastAsia="仿宋_GB2312" w:hAnsi="宋体" w:cs="Times New Roman"/>
                <w:kern w:val="0"/>
                <w:sz w:val="24"/>
                <w:szCs w:val="24"/>
              </w:rPr>
              <w:t>发布</w:t>
            </w:r>
            <w:r w:rsidRPr="00BC4B01">
              <w:rPr>
                <w:rFonts w:ascii="仿宋_GB2312" w:eastAsia="仿宋_GB2312" w:hAnsi="宋体" w:cs="Times New Roman" w:hint="eastAsia"/>
                <w:kern w:val="0"/>
                <w:sz w:val="24"/>
                <w:szCs w:val="24"/>
              </w:rPr>
              <w:t>公告</w:t>
            </w:r>
            <w:r w:rsidRPr="0027293F">
              <w:rPr>
                <w:rFonts w:ascii="仿宋_GB2312" w:eastAsia="仿宋_GB2312" w:hAnsi="宋体" w:cs="Times New Roman"/>
                <w:kern w:val="0"/>
                <w:sz w:val="24"/>
                <w:szCs w:val="24"/>
              </w:rPr>
              <w:t>之日起立即实施</w:t>
            </w:r>
            <w:r w:rsidRPr="0027293F">
              <w:rPr>
                <w:rFonts w:ascii="仿宋_GB2312" w:eastAsia="仿宋_GB2312" w:hAnsi="宋体" w:cs="Times New Roman" w:hint="eastAsia"/>
                <w:kern w:val="0"/>
                <w:sz w:val="24"/>
                <w:szCs w:val="24"/>
              </w:rPr>
              <w:t>。</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E7/E7 Q&amp;As</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特殊人群的支持性研究：老年医学</w:t>
            </w:r>
          </w:p>
        </w:tc>
        <w:tc>
          <w:tcPr>
            <w:tcW w:w="2130" w:type="pct"/>
            <w:vAlign w:val="center"/>
          </w:tcPr>
          <w:p w:rsidR="0062507F" w:rsidRPr="0027293F" w:rsidRDefault="0062507F" w:rsidP="00621458">
            <w:pPr>
              <w:widowControl/>
              <w:jc w:val="left"/>
              <w:rPr>
                <w:rFonts w:ascii="仿宋_GB2312" w:eastAsia="仿宋_GB2312" w:hAnsi="华文仿宋" w:cs="Times New Roman"/>
                <w:sz w:val="24"/>
                <w:szCs w:val="24"/>
              </w:rPr>
            </w:pPr>
            <w:r w:rsidRPr="0027293F">
              <w:rPr>
                <w:rFonts w:ascii="仿宋_GB2312" w:eastAsia="仿宋_GB2312" w:hAnsi="宋体" w:cs="Times New Roman" w:hint="eastAsia"/>
                <w:kern w:val="0"/>
                <w:sz w:val="24"/>
                <w:szCs w:val="24"/>
              </w:rPr>
              <w:t>自发布</w:t>
            </w:r>
            <w:r w:rsidRPr="00BC4B01">
              <w:rPr>
                <w:rFonts w:ascii="仿宋_GB2312" w:eastAsia="仿宋_GB2312" w:hAnsi="宋体" w:cs="Times New Roman" w:hint="eastAsia"/>
                <w:kern w:val="0"/>
                <w:sz w:val="24"/>
                <w:szCs w:val="24"/>
              </w:rPr>
              <w:t>公告</w:t>
            </w:r>
            <w:r w:rsidRPr="0027293F">
              <w:rPr>
                <w:rFonts w:ascii="仿宋_GB2312" w:eastAsia="仿宋_GB2312" w:hAnsi="宋体" w:cs="Times New Roman" w:hint="eastAsia"/>
                <w:kern w:val="0"/>
                <w:sz w:val="24"/>
                <w:szCs w:val="24"/>
              </w:rPr>
              <w:t>之日起6个月后正式</w:t>
            </w:r>
            <w:r w:rsidRPr="0027293F">
              <w:rPr>
                <w:rFonts w:ascii="仿宋_GB2312" w:eastAsia="仿宋_GB2312" w:hAnsi="宋体" w:cs="Times New Roman"/>
                <w:kern w:val="0"/>
                <w:sz w:val="24"/>
                <w:szCs w:val="24"/>
              </w:rPr>
              <w:t>实施</w:t>
            </w:r>
            <w:r w:rsidRPr="0027293F">
              <w:rPr>
                <w:rFonts w:ascii="仿宋_GB2312" w:eastAsia="仿宋_GB2312" w:hAnsi="宋体" w:cs="Times New Roman" w:hint="eastAsia"/>
                <w:kern w:val="0"/>
                <w:sz w:val="24"/>
                <w:szCs w:val="24"/>
              </w:rPr>
              <w:t>。</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E8</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临床试验的一般考虑</w:t>
            </w:r>
          </w:p>
        </w:tc>
        <w:tc>
          <w:tcPr>
            <w:tcW w:w="2130" w:type="pct"/>
            <w:vAlign w:val="center"/>
          </w:tcPr>
          <w:p w:rsidR="0062507F" w:rsidRPr="0027293F" w:rsidRDefault="0062507F" w:rsidP="00621458">
            <w:pPr>
              <w:widowControl/>
              <w:jc w:val="left"/>
              <w:rPr>
                <w:rFonts w:ascii="仿宋_GB2312" w:eastAsia="仿宋_GB2312" w:hAnsi="华文仿宋" w:cs="Times New Roman"/>
                <w:sz w:val="24"/>
                <w:szCs w:val="24"/>
              </w:rPr>
            </w:pPr>
            <w:r w:rsidRPr="0027293F">
              <w:rPr>
                <w:rFonts w:ascii="仿宋_GB2312" w:eastAsia="仿宋_GB2312" w:hAnsi="华文仿宋" w:cs="Times New Roman" w:hint="eastAsia"/>
                <w:sz w:val="24"/>
                <w:szCs w:val="24"/>
              </w:rPr>
              <w:t>自发布公告之日起6个月后正式实施</w:t>
            </w:r>
            <w:r>
              <w:rPr>
                <w:rFonts w:ascii="仿宋_GB2312" w:eastAsia="仿宋_GB2312" w:hAnsi="华文仿宋" w:cs="Times New Roman" w:hint="eastAsia"/>
                <w:sz w:val="24"/>
                <w:szCs w:val="24"/>
              </w:rPr>
              <w:t>。</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E9</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临床试验的</w:t>
            </w:r>
            <w:r>
              <w:rPr>
                <w:rFonts w:ascii="仿宋_GB2312" w:eastAsia="仿宋_GB2312" w:hAnsi="华文仿宋" w:cs="宋体" w:hint="eastAsia"/>
                <w:kern w:val="0"/>
                <w:sz w:val="24"/>
                <w:szCs w:val="24"/>
              </w:rPr>
              <w:t>统计学</w:t>
            </w:r>
            <w:r>
              <w:rPr>
                <w:rFonts w:ascii="仿宋_GB2312" w:eastAsia="仿宋_GB2312" w:hAnsi="华文仿宋" w:cs="宋体"/>
                <w:kern w:val="0"/>
                <w:sz w:val="24"/>
                <w:szCs w:val="24"/>
              </w:rPr>
              <w:t>原则</w:t>
            </w:r>
          </w:p>
        </w:tc>
        <w:tc>
          <w:tcPr>
            <w:tcW w:w="2130" w:type="pct"/>
            <w:vAlign w:val="center"/>
          </w:tcPr>
          <w:p w:rsidR="0062507F" w:rsidRPr="0027293F" w:rsidRDefault="0062507F" w:rsidP="00621458">
            <w:pPr>
              <w:widowControl/>
              <w:jc w:val="left"/>
              <w:rPr>
                <w:rFonts w:ascii="仿宋_GB2312" w:eastAsia="仿宋_GB2312" w:hAnsi="华文仿宋" w:cs="Times New Roman"/>
                <w:sz w:val="24"/>
                <w:szCs w:val="24"/>
              </w:rPr>
            </w:pPr>
            <w:r w:rsidRPr="0027293F">
              <w:rPr>
                <w:rFonts w:ascii="仿宋_GB2312" w:eastAsia="仿宋_GB2312" w:hAnsi="宋体" w:cs="Times New Roman" w:hint="eastAsia"/>
                <w:kern w:val="0"/>
                <w:sz w:val="24"/>
                <w:szCs w:val="24"/>
              </w:rPr>
              <w:t>自发布</w:t>
            </w:r>
            <w:r>
              <w:rPr>
                <w:rFonts w:ascii="仿宋_GB2312" w:eastAsia="仿宋_GB2312" w:hAnsi="宋体" w:cs="Times New Roman" w:hint="eastAsia"/>
                <w:kern w:val="0"/>
                <w:sz w:val="24"/>
                <w:szCs w:val="24"/>
              </w:rPr>
              <w:t>公告</w:t>
            </w:r>
            <w:r w:rsidRPr="0027293F">
              <w:rPr>
                <w:rFonts w:ascii="仿宋_GB2312" w:eastAsia="仿宋_GB2312" w:hAnsi="宋体" w:cs="Times New Roman" w:hint="eastAsia"/>
                <w:kern w:val="0"/>
                <w:sz w:val="24"/>
                <w:szCs w:val="24"/>
              </w:rPr>
              <w:t>之日起6个月后正式实施。</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E10</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临床试验中对照组的选择以及相关问题</w:t>
            </w:r>
          </w:p>
        </w:tc>
        <w:tc>
          <w:tcPr>
            <w:tcW w:w="2130" w:type="pct"/>
            <w:vAlign w:val="center"/>
          </w:tcPr>
          <w:p w:rsidR="0062507F" w:rsidRPr="0027293F" w:rsidRDefault="0062507F" w:rsidP="00621458">
            <w:pPr>
              <w:widowControl/>
              <w:jc w:val="left"/>
              <w:rPr>
                <w:rFonts w:ascii="仿宋_GB2312" w:eastAsia="仿宋_GB2312" w:hAnsi="华文仿宋" w:cs="Times New Roman"/>
                <w:sz w:val="24"/>
                <w:szCs w:val="24"/>
              </w:rPr>
            </w:pPr>
            <w:r w:rsidRPr="0027293F">
              <w:rPr>
                <w:rFonts w:ascii="仿宋_GB2312" w:eastAsia="仿宋_GB2312" w:hAnsi="宋体" w:cs="Times New Roman" w:hint="eastAsia"/>
                <w:kern w:val="0"/>
                <w:sz w:val="24"/>
                <w:szCs w:val="24"/>
              </w:rPr>
              <w:t>自</w:t>
            </w:r>
            <w:r w:rsidRPr="0027293F">
              <w:rPr>
                <w:rFonts w:ascii="仿宋_GB2312" w:eastAsia="仿宋_GB2312" w:hAnsi="华文仿宋" w:cs="Times New Roman" w:hint="eastAsia"/>
                <w:sz w:val="24"/>
                <w:szCs w:val="24"/>
              </w:rPr>
              <w:t>发布公告之日起6个月后正式实施</w:t>
            </w:r>
            <w:r>
              <w:rPr>
                <w:rFonts w:ascii="仿宋_GB2312" w:eastAsia="仿宋_GB2312" w:hAnsi="华文仿宋" w:cs="Times New Roman" w:hint="eastAsia"/>
                <w:sz w:val="24"/>
                <w:szCs w:val="24"/>
              </w:rPr>
              <w:t>。</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E11及E11(R1)</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儿科人群药物临床试验及</w:t>
            </w:r>
            <w:r w:rsidRPr="0027293F">
              <w:rPr>
                <w:rFonts w:ascii="仿宋_GB2312" w:eastAsia="仿宋_GB2312" w:hAnsi="华文仿宋" w:cs="宋体"/>
                <w:kern w:val="0"/>
                <w:sz w:val="24"/>
                <w:szCs w:val="24"/>
              </w:rPr>
              <w:t>附录</w:t>
            </w:r>
          </w:p>
        </w:tc>
        <w:tc>
          <w:tcPr>
            <w:tcW w:w="2130" w:type="pct"/>
            <w:vAlign w:val="center"/>
          </w:tcPr>
          <w:p w:rsidR="0062507F" w:rsidRPr="0027293F" w:rsidRDefault="0062507F" w:rsidP="00621458">
            <w:pPr>
              <w:jc w:val="left"/>
              <w:rPr>
                <w:rFonts w:ascii="仿宋_GB2312" w:eastAsia="仿宋_GB2312" w:hAnsi="华文仿宋" w:cs="宋体"/>
                <w:kern w:val="0"/>
                <w:sz w:val="24"/>
                <w:szCs w:val="24"/>
              </w:rPr>
            </w:pPr>
            <w:r w:rsidRPr="0027293F">
              <w:rPr>
                <w:rFonts w:ascii="仿宋_GB2312" w:eastAsia="仿宋_GB2312" w:hAnsi="等线" w:cs="Times New Roman" w:hint="eastAsia"/>
                <w:sz w:val="24"/>
                <w:szCs w:val="24"/>
              </w:rPr>
              <w:t>自发布公告之日起6个月后正式实施。</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E12A</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新型抗高血压药物的临床评价原则</w:t>
            </w:r>
          </w:p>
        </w:tc>
        <w:tc>
          <w:tcPr>
            <w:tcW w:w="2130" w:type="pct"/>
            <w:vAlign w:val="center"/>
          </w:tcPr>
          <w:p w:rsidR="0062507F" w:rsidRPr="0027293F" w:rsidRDefault="0062507F" w:rsidP="00621458">
            <w:pPr>
              <w:jc w:val="left"/>
              <w:rPr>
                <w:rFonts w:ascii="仿宋_GB2312" w:eastAsia="仿宋_GB2312" w:hAnsi="等线" w:cs="Times New Roman"/>
                <w:sz w:val="24"/>
                <w:szCs w:val="24"/>
              </w:rPr>
            </w:pPr>
            <w:r w:rsidRPr="0027293F">
              <w:rPr>
                <w:rFonts w:ascii="仿宋_GB2312" w:eastAsia="仿宋_GB2312" w:hAnsi="等线" w:cs="Times New Roman" w:hint="eastAsia"/>
                <w:sz w:val="24"/>
                <w:szCs w:val="24"/>
              </w:rPr>
              <w:t>安全性评估所需受试者样本量要求按照</w:t>
            </w:r>
            <w:r w:rsidRPr="0027293F">
              <w:rPr>
                <w:rFonts w:ascii="仿宋_GB2312" w:eastAsia="仿宋_GB2312" w:hAnsi="等线" w:cs="Times New Roman"/>
                <w:sz w:val="24"/>
                <w:szCs w:val="24"/>
              </w:rPr>
              <w:t>E1实施时间点要求，其余部分自</w:t>
            </w:r>
            <w:r>
              <w:rPr>
                <w:rFonts w:ascii="仿宋_GB2312" w:eastAsia="仿宋_GB2312" w:hAnsi="等线" w:cs="Times New Roman" w:hint="eastAsia"/>
                <w:sz w:val="24"/>
                <w:szCs w:val="24"/>
              </w:rPr>
              <w:t>发布</w:t>
            </w:r>
            <w:r w:rsidRPr="0027293F">
              <w:rPr>
                <w:rFonts w:ascii="仿宋_GB2312" w:eastAsia="仿宋_GB2312" w:hAnsi="等线" w:cs="Times New Roman" w:hint="eastAsia"/>
                <w:sz w:val="24"/>
                <w:szCs w:val="24"/>
              </w:rPr>
              <w:t>公告</w:t>
            </w:r>
            <w:r w:rsidRPr="0027293F">
              <w:rPr>
                <w:rFonts w:ascii="仿宋_GB2312" w:eastAsia="仿宋_GB2312" w:hAnsi="等线" w:cs="Times New Roman"/>
                <w:sz w:val="24"/>
                <w:szCs w:val="24"/>
              </w:rPr>
              <w:t>之日起6个月后正式实施</w:t>
            </w:r>
            <w:r>
              <w:rPr>
                <w:rFonts w:ascii="仿宋_GB2312" w:eastAsia="仿宋_GB2312" w:hAnsi="等线" w:cs="Times New Roman" w:hint="eastAsia"/>
                <w:sz w:val="24"/>
                <w:szCs w:val="24"/>
              </w:rPr>
              <w:t>。</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E15</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基因组生物标志物、药物基因组学、遗传药理学、基因组数据以及样本编码分类的定义</w:t>
            </w:r>
          </w:p>
        </w:tc>
        <w:tc>
          <w:tcPr>
            <w:tcW w:w="2130"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等线" w:cs="Times New Roman" w:hint="eastAsia"/>
                <w:sz w:val="24"/>
                <w:szCs w:val="24"/>
              </w:rPr>
              <w:t>自发布公告之日起6个月后正式</w:t>
            </w:r>
            <w:r w:rsidRPr="0027293F">
              <w:rPr>
                <w:rFonts w:ascii="仿宋_GB2312" w:eastAsia="仿宋_GB2312" w:hAnsi="等线" w:cs="Times New Roman"/>
                <w:sz w:val="24"/>
                <w:szCs w:val="24"/>
              </w:rPr>
              <w:t>实施</w:t>
            </w:r>
            <w:r>
              <w:rPr>
                <w:rFonts w:ascii="仿宋_GB2312" w:eastAsia="仿宋_GB2312" w:hAnsi="等线" w:cs="Times New Roman" w:hint="eastAsia"/>
                <w:sz w:val="24"/>
                <w:szCs w:val="24"/>
              </w:rPr>
              <w:t>。</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E16</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与药物或生物制品研发相关的生物标志物：资质提交材料的背景、结构以及格式</w:t>
            </w:r>
          </w:p>
        </w:tc>
        <w:tc>
          <w:tcPr>
            <w:tcW w:w="2130"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等线" w:cs="Times New Roman" w:hint="eastAsia"/>
                <w:sz w:val="24"/>
                <w:szCs w:val="24"/>
              </w:rPr>
              <w:t>自发布公告之日起6个月后正式</w:t>
            </w:r>
            <w:r w:rsidRPr="0027293F">
              <w:rPr>
                <w:rFonts w:ascii="仿宋_GB2312" w:eastAsia="仿宋_GB2312" w:hAnsi="等线" w:cs="Times New Roman"/>
                <w:sz w:val="24"/>
                <w:szCs w:val="24"/>
              </w:rPr>
              <w:t>实施</w:t>
            </w:r>
            <w:r>
              <w:rPr>
                <w:rFonts w:ascii="仿宋_GB2312" w:eastAsia="仿宋_GB2312" w:hAnsi="等线" w:cs="Times New Roman" w:hint="eastAsia"/>
                <w:sz w:val="24"/>
                <w:szCs w:val="24"/>
              </w:rPr>
              <w:t>。</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E17</w:t>
            </w:r>
          </w:p>
        </w:tc>
        <w:tc>
          <w:tcPr>
            <w:tcW w:w="1782" w:type="pct"/>
            <w:vAlign w:val="center"/>
          </w:tcPr>
          <w:p w:rsidR="0062507F" w:rsidRPr="0027293F" w:rsidRDefault="0062507F" w:rsidP="00621458">
            <w:pPr>
              <w:widowControl/>
              <w:jc w:val="left"/>
              <w:rPr>
                <w:rFonts w:ascii="仿宋_GB2312" w:eastAsia="仿宋_GB2312" w:hAnsi="华文仿宋" w:cs="宋体"/>
                <w:kern w:val="0"/>
                <w:sz w:val="24"/>
                <w:szCs w:val="24"/>
              </w:rPr>
            </w:pPr>
            <w:r w:rsidRPr="0027293F">
              <w:rPr>
                <w:rFonts w:ascii="仿宋_GB2312" w:eastAsia="仿宋_GB2312" w:hAnsi="华文仿宋" w:cs="宋体" w:hint="eastAsia"/>
                <w:kern w:val="0"/>
                <w:sz w:val="24"/>
                <w:szCs w:val="24"/>
              </w:rPr>
              <w:t>多区域临床试验计划与设计的总体原则</w:t>
            </w:r>
          </w:p>
        </w:tc>
        <w:tc>
          <w:tcPr>
            <w:tcW w:w="2130" w:type="pct"/>
            <w:vAlign w:val="center"/>
          </w:tcPr>
          <w:p w:rsidR="0062507F" w:rsidRPr="0027293F" w:rsidRDefault="0062507F" w:rsidP="00621458">
            <w:pPr>
              <w:widowControl/>
              <w:jc w:val="left"/>
              <w:rPr>
                <w:rFonts w:ascii="仿宋_GB2312" w:eastAsia="仿宋_GB2312" w:hAnsi="华文仿宋" w:cs="Times New Roman"/>
                <w:sz w:val="24"/>
                <w:szCs w:val="24"/>
              </w:rPr>
            </w:pPr>
            <w:r w:rsidRPr="0027293F">
              <w:rPr>
                <w:rFonts w:ascii="仿宋_GB2312" w:eastAsia="仿宋_GB2312" w:hAnsi="等线" w:cs="Times New Roman" w:hint="eastAsia"/>
                <w:sz w:val="24"/>
                <w:szCs w:val="24"/>
              </w:rPr>
              <w:t>自发布公告之日起立即</w:t>
            </w:r>
            <w:r w:rsidRPr="0027293F">
              <w:rPr>
                <w:rFonts w:ascii="仿宋_GB2312" w:eastAsia="仿宋_GB2312" w:hAnsi="等线" w:cs="Times New Roman"/>
                <w:sz w:val="24"/>
                <w:szCs w:val="24"/>
              </w:rPr>
              <w:t>实施</w:t>
            </w:r>
            <w:r>
              <w:rPr>
                <w:rFonts w:ascii="仿宋_GB2312" w:eastAsia="仿宋_GB2312" w:hAnsi="等线" w:cs="Times New Roman" w:hint="eastAsia"/>
                <w:sz w:val="24"/>
                <w:szCs w:val="24"/>
              </w:rPr>
              <w:t>。</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S1A</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药物致癌性试验必要性指导原则</w:t>
            </w:r>
          </w:p>
        </w:tc>
        <w:tc>
          <w:tcPr>
            <w:tcW w:w="2130" w:type="pct"/>
            <w:vMerge w:val="restart"/>
            <w:vAlign w:val="center"/>
          </w:tcPr>
          <w:p w:rsidR="0062507F" w:rsidRDefault="0062507F" w:rsidP="00621458">
            <w:pPr>
              <w:widowControl/>
              <w:jc w:val="left"/>
              <w:rPr>
                <w:rFonts w:ascii="仿宋_GB2312" w:eastAsia="仿宋_GB2312" w:hAnsi="等线" w:cs="Times New Roman"/>
                <w:sz w:val="24"/>
                <w:szCs w:val="24"/>
              </w:rPr>
            </w:pPr>
            <w:r w:rsidRPr="00935657">
              <w:rPr>
                <w:rFonts w:ascii="仿宋_GB2312" w:eastAsia="仿宋_GB2312" w:hAnsi="等线" w:cs="Times New Roman" w:hint="eastAsia"/>
                <w:sz w:val="24"/>
                <w:szCs w:val="24"/>
              </w:rPr>
              <w:t>申请人需在现行技术要求基础上尽早按照</w:t>
            </w:r>
            <w:r w:rsidRPr="00935657">
              <w:rPr>
                <w:rFonts w:ascii="仿宋_GB2312" w:eastAsia="仿宋_GB2312" w:hAnsi="等线" w:cs="Times New Roman"/>
                <w:sz w:val="24"/>
                <w:szCs w:val="24"/>
              </w:rPr>
              <w:t>ICH指导原则开展研究；自发布</w:t>
            </w:r>
            <w:r w:rsidRPr="00BC4B01">
              <w:rPr>
                <w:rFonts w:ascii="仿宋_GB2312" w:eastAsia="仿宋_GB2312" w:hAnsi="等线" w:cs="Times New Roman" w:hint="eastAsia"/>
                <w:sz w:val="24"/>
                <w:szCs w:val="24"/>
              </w:rPr>
              <w:t>公告</w:t>
            </w:r>
            <w:r w:rsidRPr="00935657">
              <w:rPr>
                <w:rFonts w:ascii="仿宋_GB2312" w:eastAsia="仿宋_GB2312" w:hAnsi="等线" w:cs="Times New Roman"/>
                <w:sz w:val="24"/>
                <w:szCs w:val="24"/>
              </w:rPr>
              <w:t>之日起，6个月后开始的非临床研究按照ICH指导原则执行。</w:t>
            </w:r>
          </w:p>
          <w:p w:rsidR="0062507F" w:rsidRPr="0027293F" w:rsidRDefault="0062507F" w:rsidP="00621458">
            <w:pPr>
              <w:widowControl/>
              <w:jc w:val="left"/>
              <w:rPr>
                <w:rFonts w:ascii="仿宋_GB2312" w:eastAsia="仿宋_GB2312" w:hAnsi="等线" w:cs="Times New Roman"/>
                <w:sz w:val="24"/>
                <w:szCs w:val="24"/>
              </w:rPr>
            </w:pPr>
            <w:r w:rsidRPr="00BC4B01">
              <w:rPr>
                <w:rFonts w:ascii="仿宋_GB2312" w:eastAsia="仿宋_GB2312" w:hAnsi="等线" w:cs="Times New Roman" w:hint="eastAsia"/>
                <w:sz w:val="24"/>
                <w:szCs w:val="24"/>
              </w:rPr>
              <w:t>“</w:t>
            </w:r>
            <w:r w:rsidRPr="00935657">
              <w:rPr>
                <w:rFonts w:ascii="仿宋_GB2312" w:eastAsia="仿宋_GB2312" w:hAnsi="等线" w:cs="Times New Roman"/>
                <w:sz w:val="24"/>
                <w:szCs w:val="24"/>
              </w:rPr>
              <w:t>非临床研究的开始</w:t>
            </w:r>
            <w:r w:rsidRPr="00BC4B01">
              <w:rPr>
                <w:rFonts w:ascii="仿宋_GB2312" w:eastAsia="仿宋_GB2312" w:hAnsi="等线" w:cs="Times New Roman" w:hint="eastAsia"/>
                <w:sz w:val="24"/>
                <w:szCs w:val="24"/>
              </w:rPr>
              <w:t>”</w:t>
            </w:r>
            <w:r w:rsidRPr="00935657">
              <w:rPr>
                <w:rFonts w:ascii="仿宋_GB2312" w:eastAsia="仿宋_GB2312" w:hAnsi="等线" w:cs="Times New Roman"/>
                <w:sz w:val="24"/>
                <w:szCs w:val="24"/>
              </w:rPr>
              <w:t>遵照《</w:t>
            </w:r>
            <w:r>
              <w:rPr>
                <w:rFonts w:ascii="仿宋_GB2312" w:eastAsia="仿宋_GB2312" w:hAnsi="等线" w:cs="Times New Roman" w:hint="eastAsia"/>
                <w:sz w:val="24"/>
                <w:szCs w:val="24"/>
              </w:rPr>
              <w:t>药物</w:t>
            </w:r>
            <w:r w:rsidRPr="00935657">
              <w:rPr>
                <w:rFonts w:ascii="仿宋_GB2312" w:eastAsia="仿宋_GB2312" w:hAnsi="等线" w:cs="Times New Roman"/>
                <w:sz w:val="24"/>
                <w:szCs w:val="24"/>
              </w:rPr>
              <w:t>非临床研究质量管理规范》中相关规定执行。</w:t>
            </w: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S1B</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药物致癌性试验</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S1C(R2)</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药物致癌性试验的剂量选择</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S2(R1)</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人用药物遗传毒性试验和结果分析指导原则</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S3A</w:t>
            </w:r>
            <w:r>
              <w:rPr>
                <w:rFonts w:ascii="仿宋_GB2312" w:eastAsia="仿宋_GB2312" w:hAnsi="华文仿宋" w:cs="宋体" w:hint="eastAsia"/>
                <w:kern w:val="0"/>
                <w:sz w:val="24"/>
              </w:rPr>
              <w:t>及问答</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proofErr w:type="gramStart"/>
            <w:r w:rsidRPr="00102947">
              <w:rPr>
                <w:rFonts w:ascii="仿宋_GB2312" w:eastAsia="仿宋_GB2312" w:hAnsi="华文仿宋" w:cs="宋体" w:hint="eastAsia"/>
                <w:kern w:val="0"/>
                <w:sz w:val="24"/>
              </w:rPr>
              <w:t>毒代动力学</w:t>
            </w:r>
            <w:proofErr w:type="gramEnd"/>
            <w:r w:rsidRPr="00102947">
              <w:rPr>
                <w:rFonts w:ascii="仿宋_GB2312" w:eastAsia="仿宋_GB2312" w:hAnsi="华文仿宋" w:cs="宋体" w:hint="eastAsia"/>
                <w:kern w:val="0"/>
                <w:sz w:val="24"/>
              </w:rPr>
              <w:t>指导原则说明：毒性研究中的全身暴露</w:t>
            </w:r>
            <w:proofErr w:type="gramStart"/>
            <w:r w:rsidRPr="00102947">
              <w:rPr>
                <w:rFonts w:ascii="仿宋_GB2312" w:eastAsia="仿宋_GB2312" w:hAnsi="华文仿宋" w:cs="宋体" w:hint="eastAsia"/>
                <w:kern w:val="0"/>
                <w:sz w:val="24"/>
              </w:rPr>
              <w:t>量评价</w:t>
            </w:r>
            <w:proofErr w:type="gramEnd"/>
            <w:r>
              <w:rPr>
                <w:rFonts w:ascii="仿宋_GB2312" w:eastAsia="仿宋_GB2312" w:hAnsi="华文仿宋" w:cs="宋体" w:hint="eastAsia"/>
                <w:kern w:val="0"/>
                <w:sz w:val="24"/>
              </w:rPr>
              <w:t>及</w:t>
            </w:r>
            <w:r>
              <w:rPr>
                <w:rFonts w:ascii="仿宋_GB2312" w:eastAsia="仿宋_GB2312" w:hAnsi="华文仿宋" w:cs="宋体"/>
                <w:kern w:val="0"/>
                <w:sz w:val="24"/>
              </w:rPr>
              <w:t>问答</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S3B</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102947">
              <w:rPr>
                <w:rFonts w:ascii="仿宋_GB2312" w:eastAsia="仿宋_GB2312" w:hAnsi="华文仿宋" w:cs="宋体" w:hint="eastAsia"/>
                <w:kern w:val="0"/>
                <w:sz w:val="24"/>
              </w:rPr>
              <w:t>药代动力学：重复给药的组织分布研究指导原则</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S4</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动物慢性毒性试验的期限（啮齿类和非啮齿类）</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S6(R1)</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生物制品的临床前安全性评价</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S7A</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人用药品安全药理学试验指导原则</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S7B</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102947">
              <w:rPr>
                <w:rFonts w:ascii="仿宋_GB2312" w:eastAsia="仿宋_GB2312" w:hAnsi="华文仿宋" w:cs="宋体" w:hint="eastAsia"/>
                <w:kern w:val="0"/>
                <w:sz w:val="24"/>
              </w:rPr>
              <w:t>人用药品延迟心室复极化（</w:t>
            </w:r>
            <w:r w:rsidRPr="00102947">
              <w:rPr>
                <w:rFonts w:ascii="仿宋_GB2312" w:eastAsia="仿宋_GB2312" w:hAnsi="华文仿宋" w:cs="宋体"/>
                <w:kern w:val="0"/>
                <w:sz w:val="24"/>
              </w:rPr>
              <w:t>QT间期延长）潜在作用的</w:t>
            </w:r>
            <w:r w:rsidRPr="00102947">
              <w:rPr>
                <w:rFonts w:ascii="仿宋_GB2312" w:eastAsia="仿宋_GB2312" w:hAnsi="华文仿宋" w:cs="宋体" w:hint="eastAsia"/>
                <w:kern w:val="0"/>
                <w:sz w:val="24"/>
              </w:rPr>
              <w:t>非临床评价指导原则</w:t>
            </w:r>
          </w:p>
        </w:tc>
        <w:tc>
          <w:tcPr>
            <w:tcW w:w="2130" w:type="pct"/>
            <w:vMerge/>
            <w:vAlign w:val="center"/>
          </w:tcPr>
          <w:p w:rsidR="0062507F" w:rsidRPr="0027293F" w:rsidRDefault="0062507F" w:rsidP="00621458">
            <w:pPr>
              <w:widowControl/>
              <w:jc w:val="center"/>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S8</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人用药物免疫毒性研究</w:t>
            </w:r>
          </w:p>
        </w:tc>
        <w:tc>
          <w:tcPr>
            <w:tcW w:w="2130" w:type="pct"/>
            <w:vMerge/>
            <w:vAlign w:val="center"/>
          </w:tcPr>
          <w:p w:rsidR="0062507F" w:rsidRPr="0027293F" w:rsidRDefault="0062507F" w:rsidP="00621458">
            <w:pPr>
              <w:widowControl/>
              <w:jc w:val="left"/>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S9</w:t>
            </w:r>
            <w:r>
              <w:rPr>
                <w:rFonts w:ascii="仿宋_GB2312" w:eastAsia="仿宋_GB2312" w:hAnsi="华文仿宋" w:cs="宋体" w:hint="eastAsia"/>
                <w:kern w:val="0"/>
                <w:sz w:val="24"/>
              </w:rPr>
              <w:t>及</w:t>
            </w:r>
            <w:r>
              <w:rPr>
                <w:rFonts w:ascii="仿宋_GB2312" w:eastAsia="仿宋_GB2312" w:hAnsi="华文仿宋" w:cs="宋体"/>
                <w:kern w:val="0"/>
                <w:sz w:val="24"/>
              </w:rPr>
              <w:t>问答</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抗肿瘤药物非临床评价</w:t>
            </w:r>
            <w:r>
              <w:rPr>
                <w:rFonts w:ascii="仿宋_GB2312" w:eastAsia="仿宋_GB2312" w:hAnsi="华文仿宋" w:cs="宋体" w:hint="eastAsia"/>
                <w:kern w:val="0"/>
                <w:sz w:val="24"/>
              </w:rPr>
              <w:t>指导原则</w:t>
            </w:r>
            <w:r>
              <w:rPr>
                <w:rFonts w:ascii="仿宋_GB2312" w:eastAsia="仿宋_GB2312" w:hAnsi="华文仿宋" w:cs="宋体"/>
                <w:kern w:val="0"/>
                <w:sz w:val="24"/>
              </w:rPr>
              <w:t>及问答</w:t>
            </w:r>
          </w:p>
        </w:tc>
        <w:tc>
          <w:tcPr>
            <w:tcW w:w="2130" w:type="pct"/>
            <w:vMerge/>
            <w:vAlign w:val="center"/>
          </w:tcPr>
          <w:p w:rsidR="0062507F" w:rsidRPr="0027293F" w:rsidRDefault="0062507F" w:rsidP="00621458">
            <w:pPr>
              <w:widowControl/>
              <w:jc w:val="left"/>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S10</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药物光安全评价</w:t>
            </w:r>
            <w:bookmarkStart w:id="0" w:name="_GoBack"/>
            <w:bookmarkEnd w:id="0"/>
          </w:p>
        </w:tc>
        <w:tc>
          <w:tcPr>
            <w:tcW w:w="2130" w:type="pct"/>
            <w:vMerge/>
            <w:vAlign w:val="center"/>
          </w:tcPr>
          <w:p w:rsidR="0062507F" w:rsidRPr="0027293F" w:rsidRDefault="0062507F" w:rsidP="00621458">
            <w:pPr>
              <w:widowControl/>
              <w:jc w:val="left"/>
              <w:rPr>
                <w:rFonts w:ascii="仿宋_GB2312" w:eastAsia="仿宋_GB2312" w:hAnsi="等线" w:cs="Times New Roman"/>
                <w:sz w:val="24"/>
                <w:szCs w:val="24"/>
              </w:rPr>
            </w:pPr>
          </w:p>
        </w:tc>
      </w:tr>
      <w:tr w:rsidR="0062507F" w:rsidRPr="0027293F" w:rsidTr="00621458">
        <w:tc>
          <w:tcPr>
            <w:tcW w:w="296" w:type="pct"/>
            <w:vAlign w:val="center"/>
          </w:tcPr>
          <w:p w:rsidR="0062507F" w:rsidRPr="0027293F" w:rsidRDefault="0062507F" w:rsidP="00621458">
            <w:pPr>
              <w:widowControl/>
              <w:numPr>
                <w:ilvl w:val="0"/>
                <w:numId w:val="1"/>
              </w:numPr>
              <w:jc w:val="center"/>
              <w:rPr>
                <w:rFonts w:ascii="仿宋_GB2312" w:eastAsia="仿宋_GB2312" w:hAnsi="华文仿宋" w:cs="宋体"/>
                <w:b/>
                <w:bCs/>
                <w:kern w:val="0"/>
                <w:sz w:val="24"/>
                <w:szCs w:val="24"/>
              </w:rPr>
            </w:pPr>
          </w:p>
        </w:tc>
        <w:tc>
          <w:tcPr>
            <w:tcW w:w="792" w:type="pct"/>
            <w:shd w:val="clear" w:color="auto" w:fill="auto"/>
            <w:vAlign w:val="center"/>
          </w:tcPr>
          <w:p w:rsidR="0062507F" w:rsidRPr="00662AF7" w:rsidRDefault="0062507F" w:rsidP="00621458">
            <w:pPr>
              <w:widowControl/>
              <w:spacing w:line="360" w:lineRule="auto"/>
              <w:jc w:val="left"/>
              <w:rPr>
                <w:rFonts w:ascii="仿宋_GB2312" w:eastAsia="仿宋_GB2312" w:hAnsi="华文仿宋" w:cs="宋体"/>
                <w:kern w:val="0"/>
                <w:sz w:val="24"/>
              </w:rPr>
            </w:pPr>
            <w:r w:rsidRPr="003B3B35">
              <w:rPr>
                <w:rFonts w:ascii="仿宋_GB2312" w:eastAsia="仿宋_GB2312" w:hAnsi="华文仿宋" w:cs="宋体"/>
                <w:kern w:val="0"/>
                <w:sz w:val="24"/>
              </w:rPr>
              <w:t>M7(R1)</w:t>
            </w:r>
          </w:p>
        </w:tc>
        <w:tc>
          <w:tcPr>
            <w:tcW w:w="1782" w:type="pct"/>
            <w:shd w:val="clear" w:color="auto" w:fill="auto"/>
            <w:vAlign w:val="center"/>
          </w:tcPr>
          <w:p w:rsidR="0062507F" w:rsidRPr="00662AF7" w:rsidRDefault="0062507F" w:rsidP="0062507F">
            <w:pPr>
              <w:widowControl/>
              <w:spacing w:line="290" w:lineRule="exact"/>
              <w:jc w:val="left"/>
              <w:rPr>
                <w:rFonts w:ascii="仿宋_GB2312" w:eastAsia="仿宋_GB2312" w:hAnsi="华文仿宋" w:cs="宋体"/>
                <w:kern w:val="0"/>
                <w:sz w:val="24"/>
              </w:rPr>
            </w:pPr>
            <w:r w:rsidRPr="00662AF7">
              <w:rPr>
                <w:rFonts w:ascii="仿宋_GB2312" w:eastAsia="仿宋_GB2312" w:hAnsi="华文仿宋" w:cs="宋体" w:hint="eastAsia"/>
                <w:kern w:val="0"/>
                <w:sz w:val="24"/>
              </w:rPr>
              <w:t>评估和控制药物中的DNA活性（致突变）杂质以限制潜在的致癌风险</w:t>
            </w:r>
          </w:p>
        </w:tc>
        <w:tc>
          <w:tcPr>
            <w:tcW w:w="2130" w:type="pct"/>
            <w:vAlign w:val="center"/>
          </w:tcPr>
          <w:p w:rsidR="0062507F" w:rsidRPr="0027293F" w:rsidRDefault="0062507F" w:rsidP="00621458">
            <w:pPr>
              <w:widowControl/>
              <w:jc w:val="left"/>
              <w:rPr>
                <w:rFonts w:ascii="仿宋_GB2312" w:eastAsia="仿宋_GB2312" w:hAnsi="等线" w:cs="Times New Roman"/>
                <w:sz w:val="24"/>
                <w:szCs w:val="24"/>
              </w:rPr>
            </w:pPr>
            <w:r w:rsidRPr="00935657">
              <w:rPr>
                <w:rFonts w:ascii="仿宋_GB2312" w:eastAsia="仿宋_GB2312" w:hAnsi="等线" w:cs="Times New Roman" w:hint="eastAsia"/>
                <w:sz w:val="24"/>
                <w:szCs w:val="24"/>
              </w:rPr>
              <w:t>申请人需在现行技术要求基础上尽早按照</w:t>
            </w:r>
            <w:r w:rsidRPr="00935657">
              <w:rPr>
                <w:rFonts w:ascii="仿宋_GB2312" w:eastAsia="仿宋_GB2312" w:hAnsi="等线" w:cs="Times New Roman"/>
                <w:sz w:val="24"/>
                <w:szCs w:val="24"/>
              </w:rPr>
              <w:t>ICH指导原则开展研究；自发布公告之日起，6个月后开始的研究，以试验记录时间点为准，按照ICH指导原则执行</w:t>
            </w:r>
            <w:r>
              <w:rPr>
                <w:rFonts w:ascii="仿宋_GB2312" w:eastAsia="仿宋_GB2312" w:hAnsi="等线" w:cs="Times New Roman" w:hint="eastAsia"/>
                <w:sz w:val="24"/>
                <w:szCs w:val="24"/>
              </w:rPr>
              <w:t>。</w:t>
            </w:r>
          </w:p>
        </w:tc>
      </w:tr>
    </w:tbl>
    <w:p w:rsidR="00721E1E" w:rsidRPr="0062507F" w:rsidRDefault="00721E1E" w:rsidP="0062507F">
      <w:pPr>
        <w:rPr>
          <w:rFonts w:hint="eastAsia"/>
        </w:rPr>
      </w:pPr>
    </w:p>
    <w:sectPr w:rsidR="00721E1E" w:rsidRPr="0062507F" w:rsidSect="006250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561" w:rsidRDefault="00FC0561" w:rsidP="0062507F">
      <w:r>
        <w:separator/>
      </w:r>
    </w:p>
  </w:endnote>
  <w:endnote w:type="continuationSeparator" w:id="0">
    <w:p w:rsidR="00FC0561" w:rsidRDefault="00FC0561" w:rsidP="0062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561" w:rsidRDefault="00FC0561" w:rsidP="0062507F">
      <w:r>
        <w:separator/>
      </w:r>
    </w:p>
  </w:footnote>
  <w:footnote w:type="continuationSeparator" w:id="0">
    <w:p w:rsidR="00FC0561" w:rsidRDefault="00FC0561" w:rsidP="00625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1729"/>
    <w:multiLevelType w:val="hybridMultilevel"/>
    <w:tmpl w:val="71400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CA"/>
    <w:rsid w:val="000000FA"/>
    <w:rsid w:val="00007FC2"/>
    <w:rsid w:val="00013AE8"/>
    <w:rsid w:val="000150C7"/>
    <w:rsid w:val="000220A6"/>
    <w:rsid w:val="00023649"/>
    <w:rsid w:val="00024152"/>
    <w:rsid w:val="00024FEE"/>
    <w:rsid w:val="00035D52"/>
    <w:rsid w:val="000362BD"/>
    <w:rsid w:val="000366A0"/>
    <w:rsid w:val="000404E4"/>
    <w:rsid w:val="00041BF3"/>
    <w:rsid w:val="00041FA3"/>
    <w:rsid w:val="00042217"/>
    <w:rsid w:val="00042571"/>
    <w:rsid w:val="00042EE3"/>
    <w:rsid w:val="0004330C"/>
    <w:rsid w:val="00043B4B"/>
    <w:rsid w:val="000459D4"/>
    <w:rsid w:val="00045E25"/>
    <w:rsid w:val="000535F6"/>
    <w:rsid w:val="00053748"/>
    <w:rsid w:val="0005433B"/>
    <w:rsid w:val="0005671F"/>
    <w:rsid w:val="000578A4"/>
    <w:rsid w:val="00065081"/>
    <w:rsid w:val="00066551"/>
    <w:rsid w:val="00070D15"/>
    <w:rsid w:val="00081152"/>
    <w:rsid w:val="00081E80"/>
    <w:rsid w:val="00085524"/>
    <w:rsid w:val="00085998"/>
    <w:rsid w:val="000912F1"/>
    <w:rsid w:val="000914B3"/>
    <w:rsid w:val="000A0E72"/>
    <w:rsid w:val="000B39AB"/>
    <w:rsid w:val="000B4691"/>
    <w:rsid w:val="000B75AF"/>
    <w:rsid w:val="000C13C6"/>
    <w:rsid w:val="000C38F8"/>
    <w:rsid w:val="000C5467"/>
    <w:rsid w:val="000C7F21"/>
    <w:rsid w:val="000D0681"/>
    <w:rsid w:val="000D0A2A"/>
    <w:rsid w:val="000D55B5"/>
    <w:rsid w:val="000D624E"/>
    <w:rsid w:val="000D629C"/>
    <w:rsid w:val="000E2E20"/>
    <w:rsid w:val="000E39ED"/>
    <w:rsid w:val="000F2624"/>
    <w:rsid w:val="000F3F6A"/>
    <w:rsid w:val="000F7D11"/>
    <w:rsid w:val="001003BE"/>
    <w:rsid w:val="00101D9A"/>
    <w:rsid w:val="0010213A"/>
    <w:rsid w:val="001062C7"/>
    <w:rsid w:val="00112DB7"/>
    <w:rsid w:val="00113347"/>
    <w:rsid w:val="00120431"/>
    <w:rsid w:val="001245DA"/>
    <w:rsid w:val="0012565A"/>
    <w:rsid w:val="0012586F"/>
    <w:rsid w:val="00126FB8"/>
    <w:rsid w:val="001302C3"/>
    <w:rsid w:val="001317A0"/>
    <w:rsid w:val="00134F7D"/>
    <w:rsid w:val="00135284"/>
    <w:rsid w:val="001359BD"/>
    <w:rsid w:val="0013695F"/>
    <w:rsid w:val="00143A34"/>
    <w:rsid w:val="001448C7"/>
    <w:rsid w:val="00147233"/>
    <w:rsid w:val="0015030F"/>
    <w:rsid w:val="0015106C"/>
    <w:rsid w:val="00151D56"/>
    <w:rsid w:val="0015430F"/>
    <w:rsid w:val="001558AA"/>
    <w:rsid w:val="00165AA5"/>
    <w:rsid w:val="001665F4"/>
    <w:rsid w:val="00166883"/>
    <w:rsid w:val="00170F1E"/>
    <w:rsid w:val="00172EE3"/>
    <w:rsid w:val="00175E53"/>
    <w:rsid w:val="001804DC"/>
    <w:rsid w:val="001816A8"/>
    <w:rsid w:val="00182EEE"/>
    <w:rsid w:val="00187784"/>
    <w:rsid w:val="00192633"/>
    <w:rsid w:val="0019357D"/>
    <w:rsid w:val="001945AE"/>
    <w:rsid w:val="00197A86"/>
    <w:rsid w:val="00197B77"/>
    <w:rsid w:val="001A0160"/>
    <w:rsid w:val="001A0DB3"/>
    <w:rsid w:val="001A1ECD"/>
    <w:rsid w:val="001A65BC"/>
    <w:rsid w:val="001A65CB"/>
    <w:rsid w:val="001B1381"/>
    <w:rsid w:val="001B299D"/>
    <w:rsid w:val="001B64F8"/>
    <w:rsid w:val="001B7409"/>
    <w:rsid w:val="001C1C4B"/>
    <w:rsid w:val="001C2FC7"/>
    <w:rsid w:val="001C3374"/>
    <w:rsid w:val="001C6CE1"/>
    <w:rsid w:val="001D3197"/>
    <w:rsid w:val="001D64C3"/>
    <w:rsid w:val="001D78AD"/>
    <w:rsid w:val="001E2458"/>
    <w:rsid w:val="001E3471"/>
    <w:rsid w:val="001E56EE"/>
    <w:rsid w:val="001F061E"/>
    <w:rsid w:val="001F178C"/>
    <w:rsid w:val="001F3F84"/>
    <w:rsid w:val="001F45E9"/>
    <w:rsid w:val="00202EB0"/>
    <w:rsid w:val="00204B2F"/>
    <w:rsid w:val="00212E01"/>
    <w:rsid w:val="0021726E"/>
    <w:rsid w:val="0021761C"/>
    <w:rsid w:val="00221D7A"/>
    <w:rsid w:val="002232EB"/>
    <w:rsid w:val="00223DFF"/>
    <w:rsid w:val="002344ED"/>
    <w:rsid w:val="00235959"/>
    <w:rsid w:val="00235C43"/>
    <w:rsid w:val="002431B6"/>
    <w:rsid w:val="002450EE"/>
    <w:rsid w:val="00245CF9"/>
    <w:rsid w:val="002465A2"/>
    <w:rsid w:val="002509E9"/>
    <w:rsid w:val="00251332"/>
    <w:rsid w:val="00251FE0"/>
    <w:rsid w:val="0025279E"/>
    <w:rsid w:val="0026015B"/>
    <w:rsid w:val="00261FCF"/>
    <w:rsid w:val="0026425B"/>
    <w:rsid w:val="0026778C"/>
    <w:rsid w:val="002707C2"/>
    <w:rsid w:val="002711DA"/>
    <w:rsid w:val="002733AD"/>
    <w:rsid w:val="002733E5"/>
    <w:rsid w:val="0027344F"/>
    <w:rsid w:val="00273694"/>
    <w:rsid w:val="00273CFB"/>
    <w:rsid w:val="00274FFF"/>
    <w:rsid w:val="00277A55"/>
    <w:rsid w:val="00277CD1"/>
    <w:rsid w:val="00282BC5"/>
    <w:rsid w:val="002842DC"/>
    <w:rsid w:val="002861A4"/>
    <w:rsid w:val="00287C75"/>
    <w:rsid w:val="0029115D"/>
    <w:rsid w:val="00292EA3"/>
    <w:rsid w:val="0029303C"/>
    <w:rsid w:val="002936B5"/>
    <w:rsid w:val="00294185"/>
    <w:rsid w:val="00294466"/>
    <w:rsid w:val="00294D0D"/>
    <w:rsid w:val="002961F9"/>
    <w:rsid w:val="002A0896"/>
    <w:rsid w:val="002A0BAD"/>
    <w:rsid w:val="002A2423"/>
    <w:rsid w:val="002A79CE"/>
    <w:rsid w:val="002B3583"/>
    <w:rsid w:val="002B418E"/>
    <w:rsid w:val="002B5D90"/>
    <w:rsid w:val="002C41A6"/>
    <w:rsid w:val="002C4558"/>
    <w:rsid w:val="002C521E"/>
    <w:rsid w:val="002C63A5"/>
    <w:rsid w:val="002C6789"/>
    <w:rsid w:val="002C7B74"/>
    <w:rsid w:val="002D3C76"/>
    <w:rsid w:val="002D3F15"/>
    <w:rsid w:val="002D6163"/>
    <w:rsid w:val="002E181C"/>
    <w:rsid w:val="002E5CB5"/>
    <w:rsid w:val="002E6B4B"/>
    <w:rsid w:val="002F03E8"/>
    <w:rsid w:val="002F1DAF"/>
    <w:rsid w:val="002F4F15"/>
    <w:rsid w:val="00302E17"/>
    <w:rsid w:val="00304148"/>
    <w:rsid w:val="00304DB1"/>
    <w:rsid w:val="003156F6"/>
    <w:rsid w:val="00316A9B"/>
    <w:rsid w:val="00316B44"/>
    <w:rsid w:val="003222D4"/>
    <w:rsid w:val="003328B2"/>
    <w:rsid w:val="00335A6E"/>
    <w:rsid w:val="00335AE0"/>
    <w:rsid w:val="003376B4"/>
    <w:rsid w:val="00340315"/>
    <w:rsid w:val="003442EE"/>
    <w:rsid w:val="0034432C"/>
    <w:rsid w:val="003443FA"/>
    <w:rsid w:val="00346C7B"/>
    <w:rsid w:val="00350AEB"/>
    <w:rsid w:val="00350EE3"/>
    <w:rsid w:val="00350FC8"/>
    <w:rsid w:val="003512F6"/>
    <w:rsid w:val="00352DB0"/>
    <w:rsid w:val="0035665E"/>
    <w:rsid w:val="00357C92"/>
    <w:rsid w:val="00361827"/>
    <w:rsid w:val="00364DB2"/>
    <w:rsid w:val="003669E4"/>
    <w:rsid w:val="003753F6"/>
    <w:rsid w:val="00375AA2"/>
    <w:rsid w:val="00376267"/>
    <w:rsid w:val="00380DE4"/>
    <w:rsid w:val="00382DBD"/>
    <w:rsid w:val="00385453"/>
    <w:rsid w:val="00386208"/>
    <w:rsid w:val="00390407"/>
    <w:rsid w:val="00392A6E"/>
    <w:rsid w:val="00393CA4"/>
    <w:rsid w:val="00395E21"/>
    <w:rsid w:val="003973F0"/>
    <w:rsid w:val="003979AB"/>
    <w:rsid w:val="003A0AAE"/>
    <w:rsid w:val="003A3373"/>
    <w:rsid w:val="003B14BD"/>
    <w:rsid w:val="003B1E31"/>
    <w:rsid w:val="003B459A"/>
    <w:rsid w:val="003B58AA"/>
    <w:rsid w:val="003B7565"/>
    <w:rsid w:val="003B7EDF"/>
    <w:rsid w:val="003C2C6E"/>
    <w:rsid w:val="003C2D17"/>
    <w:rsid w:val="003C51C3"/>
    <w:rsid w:val="003C577D"/>
    <w:rsid w:val="003C7432"/>
    <w:rsid w:val="003D2281"/>
    <w:rsid w:val="003D27CC"/>
    <w:rsid w:val="003D2858"/>
    <w:rsid w:val="003D4F57"/>
    <w:rsid w:val="003D6B8D"/>
    <w:rsid w:val="003E60DC"/>
    <w:rsid w:val="003E6930"/>
    <w:rsid w:val="003E6CC0"/>
    <w:rsid w:val="003E70DC"/>
    <w:rsid w:val="00403AF2"/>
    <w:rsid w:val="00407D9A"/>
    <w:rsid w:val="00415884"/>
    <w:rsid w:val="00425556"/>
    <w:rsid w:val="00426CBA"/>
    <w:rsid w:val="004278A0"/>
    <w:rsid w:val="00432508"/>
    <w:rsid w:val="00434AD8"/>
    <w:rsid w:val="00435609"/>
    <w:rsid w:val="00446398"/>
    <w:rsid w:val="00446756"/>
    <w:rsid w:val="00446C8B"/>
    <w:rsid w:val="004532D8"/>
    <w:rsid w:val="00461A0C"/>
    <w:rsid w:val="004625DD"/>
    <w:rsid w:val="00466023"/>
    <w:rsid w:val="00471CE2"/>
    <w:rsid w:val="00480502"/>
    <w:rsid w:val="00480570"/>
    <w:rsid w:val="00480A12"/>
    <w:rsid w:val="0048143A"/>
    <w:rsid w:val="00482D64"/>
    <w:rsid w:val="00482D6C"/>
    <w:rsid w:val="0048319A"/>
    <w:rsid w:val="00483757"/>
    <w:rsid w:val="00484282"/>
    <w:rsid w:val="00485595"/>
    <w:rsid w:val="00491C91"/>
    <w:rsid w:val="00492029"/>
    <w:rsid w:val="00492B7C"/>
    <w:rsid w:val="00495405"/>
    <w:rsid w:val="00495F2A"/>
    <w:rsid w:val="004A068C"/>
    <w:rsid w:val="004A519D"/>
    <w:rsid w:val="004A64D9"/>
    <w:rsid w:val="004A6E1C"/>
    <w:rsid w:val="004B03F5"/>
    <w:rsid w:val="004B3CFC"/>
    <w:rsid w:val="004B78DA"/>
    <w:rsid w:val="004C02A4"/>
    <w:rsid w:val="004C5368"/>
    <w:rsid w:val="004D3265"/>
    <w:rsid w:val="004D74CF"/>
    <w:rsid w:val="004E072C"/>
    <w:rsid w:val="004E1390"/>
    <w:rsid w:val="004E38C3"/>
    <w:rsid w:val="004E5DB6"/>
    <w:rsid w:val="004F5462"/>
    <w:rsid w:val="004F5875"/>
    <w:rsid w:val="005018F8"/>
    <w:rsid w:val="0050267F"/>
    <w:rsid w:val="00505E2C"/>
    <w:rsid w:val="00510077"/>
    <w:rsid w:val="0052186F"/>
    <w:rsid w:val="005225EB"/>
    <w:rsid w:val="005272B0"/>
    <w:rsid w:val="0053394F"/>
    <w:rsid w:val="0053478F"/>
    <w:rsid w:val="00541ED5"/>
    <w:rsid w:val="00545699"/>
    <w:rsid w:val="005462C2"/>
    <w:rsid w:val="00547189"/>
    <w:rsid w:val="00552380"/>
    <w:rsid w:val="0055592D"/>
    <w:rsid w:val="00560264"/>
    <w:rsid w:val="00560759"/>
    <w:rsid w:val="00560AFC"/>
    <w:rsid w:val="0056112F"/>
    <w:rsid w:val="00565394"/>
    <w:rsid w:val="00565F44"/>
    <w:rsid w:val="0057326D"/>
    <w:rsid w:val="005758FF"/>
    <w:rsid w:val="0058448D"/>
    <w:rsid w:val="0059223E"/>
    <w:rsid w:val="00594011"/>
    <w:rsid w:val="00597195"/>
    <w:rsid w:val="00597954"/>
    <w:rsid w:val="005A3C7F"/>
    <w:rsid w:val="005A4AC1"/>
    <w:rsid w:val="005A5F10"/>
    <w:rsid w:val="005B387C"/>
    <w:rsid w:val="005B45D5"/>
    <w:rsid w:val="005B6138"/>
    <w:rsid w:val="005B66CF"/>
    <w:rsid w:val="005B71D0"/>
    <w:rsid w:val="005C20F2"/>
    <w:rsid w:val="005C5010"/>
    <w:rsid w:val="005D09C1"/>
    <w:rsid w:val="005D4847"/>
    <w:rsid w:val="005D4C37"/>
    <w:rsid w:val="005D60B8"/>
    <w:rsid w:val="005D6B4B"/>
    <w:rsid w:val="005D7149"/>
    <w:rsid w:val="005E1267"/>
    <w:rsid w:val="005E3D97"/>
    <w:rsid w:val="005E4183"/>
    <w:rsid w:val="005E5E9F"/>
    <w:rsid w:val="005F2165"/>
    <w:rsid w:val="005F2BE4"/>
    <w:rsid w:val="005F6442"/>
    <w:rsid w:val="005F72F3"/>
    <w:rsid w:val="00611A36"/>
    <w:rsid w:val="00616030"/>
    <w:rsid w:val="00624AAB"/>
    <w:rsid w:val="00624DC0"/>
    <w:rsid w:val="0062507F"/>
    <w:rsid w:val="006266D2"/>
    <w:rsid w:val="006324CA"/>
    <w:rsid w:val="00635808"/>
    <w:rsid w:val="00635E5F"/>
    <w:rsid w:val="0063649B"/>
    <w:rsid w:val="0063682E"/>
    <w:rsid w:val="00637A43"/>
    <w:rsid w:val="006413FF"/>
    <w:rsid w:val="006509B5"/>
    <w:rsid w:val="00653063"/>
    <w:rsid w:val="0065389F"/>
    <w:rsid w:val="00670D50"/>
    <w:rsid w:val="00672779"/>
    <w:rsid w:val="00673BC2"/>
    <w:rsid w:val="00673F78"/>
    <w:rsid w:val="00675ECF"/>
    <w:rsid w:val="00677B54"/>
    <w:rsid w:val="0068104B"/>
    <w:rsid w:val="00682037"/>
    <w:rsid w:val="00684614"/>
    <w:rsid w:val="00684A7C"/>
    <w:rsid w:val="00685A3E"/>
    <w:rsid w:val="00685ECB"/>
    <w:rsid w:val="0068722C"/>
    <w:rsid w:val="006953E0"/>
    <w:rsid w:val="0069728F"/>
    <w:rsid w:val="006A1C0C"/>
    <w:rsid w:val="006A2C9A"/>
    <w:rsid w:val="006A621B"/>
    <w:rsid w:val="006A6708"/>
    <w:rsid w:val="006A736B"/>
    <w:rsid w:val="006B021D"/>
    <w:rsid w:val="006B0F81"/>
    <w:rsid w:val="006B28E3"/>
    <w:rsid w:val="006B50D7"/>
    <w:rsid w:val="006D4928"/>
    <w:rsid w:val="006D502B"/>
    <w:rsid w:val="006D7191"/>
    <w:rsid w:val="006E177E"/>
    <w:rsid w:val="006E2C98"/>
    <w:rsid w:val="006F5469"/>
    <w:rsid w:val="006F7595"/>
    <w:rsid w:val="00700AF8"/>
    <w:rsid w:val="0070405F"/>
    <w:rsid w:val="00712A56"/>
    <w:rsid w:val="00712C09"/>
    <w:rsid w:val="00712D73"/>
    <w:rsid w:val="007139C9"/>
    <w:rsid w:val="007158AF"/>
    <w:rsid w:val="0071709B"/>
    <w:rsid w:val="007217DC"/>
    <w:rsid w:val="00721E1E"/>
    <w:rsid w:val="007239D2"/>
    <w:rsid w:val="00725B2E"/>
    <w:rsid w:val="00725E9E"/>
    <w:rsid w:val="00725EBA"/>
    <w:rsid w:val="00725FB3"/>
    <w:rsid w:val="00734DA5"/>
    <w:rsid w:val="007401CF"/>
    <w:rsid w:val="00743D11"/>
    <w:rsid w:val="00744566"/>
    <w:rsid w:val="007445E8"/>
    <w:rsid w:val="00744909"/>
    <w:rsid w:val="00746190"/>
    <w:rsid w:val="00746440"/>
    <w:rsid w:val="00751A7B"/>
    <w:rsid w:val="007522E7"/>
    <w:rsid w:val="007526EC"/>
    <w:rsid w:val="0075313E"/>
    <w:rsid w:val="007536E9"/>
    <w:rsid w:val="007557C7"/>
    <w:rsid w:val="0076014D"/>
    <w:rsid w:val="007605F4"/>
    <w:rsid w:val="00761D78"/>
    <w:rsid w:val="00762D67"/>
    <w:rsid w:val="00762F45"/>
    <w:rsid w:val="007632D0"/>
    <w:rsid w:val="00763B94"/>
    <w:rsid w:val="007726F5"/>
    <w:rsid w:val="00773092"/>
    <w:rsid w:val="007812AE"/>
    <w:rsid w:val="00782EEA"/>
    <w:rsid w:val="00786B1C"/>
    <w:rsid w:val="00786EA2"/>
    <w:rsid w:val="0078737D"/>
    <w:rsid w:val="0079629D"/>
    <w:rsid w:val="007A2345"/>
    <w:rsid w:val="007A3956"/>
    <w:rsid w:val="007A3D35"/>
    <w:rsid w:val="007A4119"/>
    <w:rsid w:val="007A4C79"/>
    <w:rsid w:val="007A514B"/>
    <w:rsid w:val="007B01B9"/>
    <w:rsid w:val="007B3A36"/>
    <w:rsid w:val="007B4D42"/>
    <w:rsid w:val="007C189F"/>
    <w:rsid w:val="007C2EC0"/>
    <w:rsid w:val="007C3E71"/>
    <w:rsid w:val="007C4148"/>
    <w:rsid w:val="007D038F"/>
    <w:rsid w:val="007D6EC2"/>
    <w:rsid w:val="007E5A40"/>
    <w:rsid w:val="007E68B7"/>
    <w:rsid w:val="007F04AA"/>
    <w:rsid w:val="007F108C"/>
    <w:rsid w:val="007F76DC"/>
    <w:rsid w:val="007F7E06"/>
    <w:rsid w:val="00801CFD"/>
    <w:rsid w:val="008020E5"/>
    <w:rsid w:val="008025F7"/>
    <w:rsid w:val="00807B62"/>
    <w:rsid w:val="008113A5"/>
    <w:rsid w:val="00815161"/>
    <w:rsid w:val="008157A1"/>
    <w:rsid w:val="00815F67"/>
    <w:rsid w:val="0082461E"/>
    <w:rsid w:val="00827DAC"/>
    <w:rsid w:val="00830183"/>
    <w:rsid w:val="008352E7"/>
    <w:rsid w:val="008358CB"/>
    <w:rsid w:val="00841BED"/>
    <w:rsid w:val="00843D1B"/>
    <w:rsid w:val="008446AF"/>
    <w:rsid w:val="0084612F"/>
    <w:rsid w:val="00847F8B"/>
    <w:rsid w:val="00852EDD"/>
    <w:rsid w:val="00854F2C"/>
    <w:rsid w:val="008631BB"/>
    <w:rsid w:val="00863912"/>
    <w:rsid w:val="0086502A"/>
    <w:rsid w:val="008679A5"/>
    <w:rsid w:val="00867D77"/>
    <w:rsid w:val="0087133B"/>
    <w:rsid w:val="00871511"/>
    <w:rsid w:val="008716F0"/>
    <w:rsid w:val="00872148"/>
    <w:rsid w:val="00876A46"/>
    <w:rsid w:val="00881DC1"/>
    <w:rsid w:val="00883733"/>
    <w:rsid w:val="00885639"/>
    <w:rsid w:val="008918E0"/>
    <w:rsid w:val="00891A19"/>
    <w:rsid w:val="00892BA3"/>
    <w:rsid w:val="00893161"/>
    <w:rsid w:val="00893FA9"/>
    <w:rsid w:val="0089485C"/>
    <w:rsid w:val="00894AF7"/>
    <w:rsid w:val="008A0695"/>
    <w:rsid w:val="008B1417"/>
    <w:rsid w:val="008B1D92"/>
    <w:rsid w:val="008B1ECB"/>
    <w:rsid w:val="008B6FB7"/>
    <w:rsid w:val="008C23AE"/>
    <w:rsid w:val="008C3F57"/>
    <w:rsid w:val="008C4ED0"/>
    <w:rsid w:val="008D2AB6"/>
    <w:rsid w:val="008D5E1A"/>
    <w:rsid w:val="008E17AF"/>
    <w:rsid w:val="008E275B"/>
    <w:rsid w:val="008E4780"/>
    <w:rsid w:val="008E500D"/>
    <w:rsid w:val="008E58DC"/>
    <w:rsid w:val="008E5E31"/>
    <w:rsid w:val="008F4E07"/>
    <w:rsid w:val="008F62C2"/>
    <w:rsid w:val="00900C43"/>
    <w:rsid w:val="009014E6"/>
    <w:rsid w:val="00904246"/>
    <w:rsid w:val="009063B8"/>
    <w:rsid w:val="0090779E"/>
    <w:rsid w:val="00910C07"/>
    <w:rsid w:val="00915BF1"/>
    <w:rsid w:val="009213CA"/>
    <w:rsid w:val="00927F75"/>
    <w:rsid w:val="00934A65"/>
    <w:rsid w:val="00935AD6"/>
    <w:rsid w:val="0094291C"/>
    <w:rsid w:val="00945503"/>
    <w:rsid w:val="009502BF"/>
    <w:rsid w:val="00952517"/>
    <w:rsid w:val="00961655"/>
    <w:rsid w:val="00961D8E"/>
    <w:rsid w:val="009649E4"/>
    <w:rsid w:val="009722FD"/>
    <w:rsid w:val="00977046"/>
    <w:rsid w:val="009779C0"/>
    <w:rsid w:val="00977F33"/>
    <w:rsid w:val="0098018B"/>
    <w:rsid w:val="00981308"/>
    <w:rsid w:val="00995D8A"/>
    <w:rsid w:val="00995DA8"/>
    <w:rsid w:val="009A0814"/>
    <w:rsid w:val="009A1B5D"/>
    <w:rsid w:val="009A3BA2"/>
    <w:rsid w:val="009A4299"/>
    <w:rsid w:val="009A5B8E"/>
    <w:rsid w:val="009B14EF"/>
    <w:rsid w:val="009B1A6B"/>
    <w:rsid w:val="009B453F"/>
    <w:rsid w:val="009B5BB5"/>
    <w:rsid w:val="009B70FA"/>
    <w:rsid w:val="009B74B5"/>
    <w:rsid w:val="009C0F77"/>
    <w:rsid w:val="009C5986"/>
    <w:rsid w:val="009C709A"/>
    <w:rsid w:val="009D2E07"/>
    <w:rsid w:val="009D4BE4"/>
    <w:rsid w:val="009D6374"/>
    <w:rsid w:val="009E06C4"/>
    <w:rsid w:val="009E097F"/>
    <w:rsid w:val="009E506A"/>
    <w:rsid w:val="009E63E5"/>
    <w:rsid w:val="009F4AD5"/>
    <w:rsid w:val="009F51DB"/>
    <w:rsid w:val="009F5576"/>
    <w:rsid w:val="00A01BDA"/>
    <w:rsid w:val="00A060A1"/>
    <w:rsid w:val="00A0646E"/>
    <w:rsid w:val="00A127A5"/>
    <w:rsid w:val="00A12DF3"/>
    <w:rsid w:val="00A13119"/>
    <w:rsid w:val="00A245E1"/>
    <w:rsid w:val="00A25436"/>
    <w:rsid w:val="00A36843"/>
    <w:rsid w:val="00A40180"/>
    <w:rsid w:val="00A4067B"/>
    <w:rsid w:val="00A40FF3"/>
    <w:rsid w:val="00A46A65"/>
    <w:rsid w:val="00A47209"/>
    <w:rsid w:val="00A47D41"/>
    <w:rsid w:val="00A60830"/>
    <w:rsid w:val="00A63493"/>
    <w:rsid w:val="00A669F0"/>
    <w:rsid w:val="00A7121E"/>
    <w:rsid w:val="00A71B47"/>
    <w:rsid w:val="00A72F9C"/>
    <w:rsid w:val="00A73152"/>
    <w:rsid w:val="00A77F38"/>
    <w:rsid w:val="00A804B1"/>
    <w:rsid w:val="00A80628"/>
    <w:rsid w:val="00A855AB"/>
    <w:rsid w:val="00A9571F"/>
    <w:rsid w:val="00AA1276"/>
    <w:rsid w:val="00AA2CDC"/>
    <w:rsid w:val="00AA61DC"/>
    <w:rsid w:val="00AA669E"/>
    <w:rsid w:val="00AB1D0E"/>
    <w:rsid w:val="00AB3FFF"/>
    <w:rsid w:val="00AC3142"/>
    <w:rsid w:val="00AC6012"/>
    <w:rsid w:val="00AC75CC"/>
    <w:rsid w:val="00AD1C01"/>
    <w:rsid w:val="00AD2F99"/>
    <w:rsid w:val="00AD5308"/>
    <w:rsid w:val="00AD5D58"/>
    <w:rsid w:val="00AE20EB"/>
    <w:rsid w:val="00AE3509"/>
    <w:rsid w:val="00AE3DC4"/>
    <w:rsid w:val="00AE5DA4"/>
    <w:rsid w:val="00AE6558"/>
    <w:rsid w:val="00AE77B2"/>
    <w:rsid w:val="00AF0CE0"/>
    <w:rsid w:val="00AF6C3D"/>
    <w:rsid w:val="00AF7459"/>
    <w:rsid w:val="00B01055"/>
    <w:rsid w:val="00B02227"/>
    <w:rsid w:val="00B046F2"/>
    <w:rsid w:val="00B070EE"/>
    <w:rsid w:val="00B16E0C"/>
    <w:rsid w:val="00B201C2"/>
    <w:rsid w:val="00B20C84"/>
    <w:rsid w:val="00B213E1"/>
    <w:rsid w:val="00B25DFE"/>
    <w:rsid w:val="00B277FF"/>
    <w:rsid w:val="00B336CD"/>
    <w:rsid w:val="00B401F6"/>
    <w:rsid w:val="00B40A4B"/>
    <w:rsid w:val="00B41BC3"/>
    <w:rsid w:val="00B436E6"/>
    <w:rsid w:val="00B45BE7"/>
    <w:rsid w:val="00B4674E"/>
    <w:rsid w:val="00B56120"/>
    <w:rsid w:val="00B63F35"/>
    <w:rsid w:val="00B64E9F"/>
    <w:rsid w:val="00B6687E"/>
    <w:rsid w:val="00B66EBA"/>
    <w:rsid w:val="00B70690"/>
    <w:rsid w:val="00B71428"/>
    <w:rsid w:val="00B717F0"/>
    <w:rsid w:val="00B72C04"/>
    <w:rsid w:val="00B80932"/>
    <w:rsid w:val="00B82437"/>
    <w:rsid w:val="00B827A4"/>
    <w:rsid w:val="00B866FE"/>
    <w:rsid w:val="00B8670A"/>
    <w:rsid w:val="00B90568"/>
    <w:rsid w:val="00B9380D"/>
    <w:rsid w:val="00B96D44"/>
    <w:rsid w:val="00BA0B2E"/>
    <w:rsid w:val="00BA382A"/>
    <w:rsid w:val="00BB0A20"/>
    <w:rsid w:val="00BB215F"/>
    <w:rsid w:val="00BB311F"/>
    <w:rsid w:val="00BB3251"/>
    <w:rsid w:val="00BB5F81"/>
    <w:rsid w:val="00BB6EC3"/>
    <w:rsid w:val="00BC140F"/>
    <w:rsid w:val="00BC3292"/>
    <w:rsid w:val="00BC4CB8"/>
    <w:rsid w:val="00BC5B21"/>
    <w:rsid w:val="00BC7395"/>
    <w:rsid w:val="00BD2991"/>
    <w:rsid w:val="00BD70CA"/>
    <w:rsid w:val="00BE1E6C"/>
    <w:rsid w:val="00BE21D3"/>
    <w:rsid w:val="00BE2460"/>
    <w:rsid w:val="00BE6F79"/>
    <w:rsid w:val="00BE73CA"/>
    <w:rsid w:val="00BF0056"/>
    <w:rsid w:val="00BF1E98"/>
    <w:rsid w:val="00C04AA5"/>
    <w:rsid w:val="00C079AF"/>
    <w:rsid w:val="00C11847"/>
    <w:rsid w:val="00C11C77"/>
    <w:rsid w:val="00C128B5"/>
    <w:rsid w:val="00C12DDA"/>
    <w:rsid w:val="00C16A4D"/>
    <w:rsid w:val="00C2014E"/>
    <w:rsid w:val="00C20BF5"/>
    <w:rsid w:val="00C21DC8"/>
    <w:rsid w:val="00C2379F"/>
    <w:rsid w:val="00C2404C"/>
    <w:rsid w:val="00C2418D"/>
    <w:rsid w:val="00C24404"/>
    <w:rsid w:val="00C24CCF"/>
    <w:rsid w:val="00C27427"/>
    <w:rsid w:val="00C310FA"/>
    <w:rsid w:val="00C32089"/>
    <w:rsid w:val="00C326B8"/>
    <w:rsid w:val="00C3472C"/>
    <w:rsid w:val="00C46F3E"/>
    <w:rsid w:val="00C503A3"/>
    <w:rsid w:val="00C536C4"/>
    <w:rsid w:val="00C53D55"/>
    <w:rsid w:val="00C5483D"/>
    <w:rsid w:val="00C579AB"/>
    <w:rsid w:val="00C57B1E"/>
    <w:rsid w:val="00C61159"/>
    <w:rsid w:val="00C703E7"/>
    <w:rsid w:val="00C7058A"/>
    <w:rsid w:val="00C732F8"/>
    <w:rsid w:val="00C74599"/>
    <w:rsid w:val="00C77D13"/>
    <w:rsid w:val="00C802AB"/>
    <w:rsid w:val="00C8680A"/>
    <w:rsid w:val="00C8696E"/>
    <w:rsid w:val="00C91E59"/>
    <w:rsid w:val="00C9214A"/>
    <w:rsid w:val="00C93707"/>
    <w:rsid w:val="00C95774"/>
    <w:rsid w:val="00CA3772"/>
    <w:rsid w:val="00CA594A"/>
    <w:rsid w:val="00CA5DF6"/>
    <w:rsid w:val="00CB2053"/>
    <w:rsid w:val="00CB3DDF"/>
    <w:rsid w:val="00CB69E7"/>
    <w:rsid w:val="00CB7B2D"/>
    <w:rsid w:val="00CC0D00"/>
    <w:rsid w:val="00CC2F81"/>
    <w:rsid w:val="00CC6A2C"/>
    <w:rsid w:val="00CD0AAB"/>
    <w:rsid w:val="00CD34ED"/>
    <w:rsid w:val="00CD5D69"/>
    <w:rsid w:val="00CD7C80"/>
    <w:rsid w:val="00CE199A"/>
    <w:rsid w:val="00CE2695"/>
    <w:rsid w:val="00CE3A35"/>
    <w:rsid w:val="00CE5BF5"/>
    <w:rsid w:val="00CE6233"/>
    <w:rsid w:val="00CE6582"/>
    <w:rsid w:val="00CF1619"/>
    <w:rsid w:val="00CF4669"/>
    <w:rsid w:val="00CF7B7B"/>
    <w:rsid w:val="00D02B6E"/>
    <w:rsid w:val="00D03904"/>
    <w:rsid w:val="00D05091"/>
    <w:rsid w:val="00D0575F"/>
    <w:rsid w:val="00D11BBD"/>
    <w:rsid w:val="00D17270"/>
    <w:rsid w:val="00D20671"/>
    <w:rsid w:val="00D216E5"/>
    <w:rsid w:val="00D21920"/>
    <w:rsid w:val="00D21CC6"/>
    <w:rsid w:val="00D238FC"/>
    <w:rsid w:val="00D24C98"/>
    <w:rsid w:val="00D25A8F"/>
    <w:rsid w:val="00D307CE"/>
    <w:rsid w:val="00D31445"/>
    <w:rsid w:val="00D33B2C"/>
    <w:rsid w:val="00D35272"/>
    <w:rsid w:val="00D36DBD"/>
    <w:rsid w:val="00D43930"/>
    <w:rsid w:val="00D4643E"/>
    <w:rsid w:val="00D47318"/>
    <w:rsid w:val="00D4781E"/>
    <w:rsid w:val="00D52CE6"/>
    <w:rsid w:val="00D55EC4"/>
    <w:rsid w:val="00D567D7"/>
    <w:rsid w:val="00D56A4F"/>
    <w:rsid w:val="00D572F6"/>
    <w:rsid w:val="00D617D1"/>
    <w:rsid w:val="00D67D19"/>
    <w:rsid w:val="00D73374"/>
    <w:rsid w:val="00D73DE6"/>
    <w:rsid w:val="00D747FF"/>
    <w:rsid w:val="00D7535A"/>
    <w:rsid w:val="00D769F3"/>
    <w:rsid w:val="00D800C3"/>
    <w:rsid w:val="00D80332"/>
    <w:rsid w:val="00D81E0A"/>
    <w:rsid w:val="00D82C10"/>
    <w:rsid w:val="00D832DF"/>
    <w:rsid w:val="00D84E1C"/>
    <w:rsid w:val="00D90C62"/>
    <w:rsid w:val="00D90EF9"/>
    <w:rsid w:val="00D93726"/>
    <w:rsid w:val="00D93BFE"/>
    <w:rsid w:val="00D968BA"/>
    <w:rsid w:val="00DA129B"/>
    <w:rsid w:val="00DA3CD9"/>
    <w:rsid w:val="00DA3DD9"/>
    <w:rsid w:val="00DA4299"/>
    <w:rsid w:val="00DA60DD"/>
    <w:rsid w:val="00DA7798"/>
    <w:rsid w:val="00DB065D"/>
    <w:rsid w:val="00DB486F"/>
    <w:rsid w:val="00DB52DA"/>
    <w:rsid w:val="00DC139A"/>
    <w:rsid w:val="00DC13AF"/>
    <w:rsid w:val="00DC3430"/>
    <w:rsid w:val="00DC3FA1"/>
    <w:rsid w:val="00DC6443"/>
    <w:rsid w:val="00DC7FB3"/>
    <w:rsid w:val="00DD02D8"/>
    <w:rsid w:val="00DD02E5"/>
    <w:rsid w:val="00DD2584"/>
    <w:rsid w:val="00DD39BB"/>
    <w:rsid w:val="00DD5526"/>
    <w:rsid w:val="00DD64EB"/>
    <w:rsid w:val="00DD7AA0"/>
    <w:rsid w:val="00DE0EEE"/>
    <w:rsid w:val="00DE2FB2"/>
    <w:rsid w:val="00DE7418"/>
    <w:rsid w:val="00DF08A6"/>
    <w:rsid w:val="00DF0C34"/>
    <w:rsid w:val="00DF1797"/>
    <w:rsid w:val="00DF6C84"/>
    <w:rsid w:val="00DF7672"/>
    <w:rsid w:val="00E00707"/>
    <w:rsid w:val="00E0106D"/>
    <w:rsid w:val="00E01951"/>
    <w:rsid w:val="00E03817"/>
    <w:rsid w:val="00E03E28"/>
    <w:rsid w:val="00E04B04"/>
    <w:rsid w:val="00E07933"/>
    <w:rsid w:val="00E13B82"/>
    <w:rsid w:val="00E14691"/>
    <w:rsid w:val="00E14AC0"/>
    <w:rsid w:val="00E222F9"/>
    <w:rsid w:val="00E24873"/>
    <w:rsid w:val="00E26E17"/>
    <w:rsid w:val="00E27BBA"/>
    <w:rsid w:val="00E27E22"/>
    <w:rsid w:val="00E308AA"/>
    <w:rsid w:val="00E30CFB"/>
    <w:rsid w:val="00E32D15"/>
    <w:rsid w:val="00E345C7"/>
    <w:rsid w:val="00E371C6"/>
    <w:rsid w:val="00E44A4A"/>
    <w:rsid w:val="00E50DAD"/>
    <w:rsid w:val="00E64770"/>
    <w:rsid w:val="00E650B0"/>
    <w:rsid w:val="00E65A31"/>
    <w:rsid w:val="00E72169"/>
    <w:rsid w:val="00E740FD"/>
    <w:rsid w:val="00E774D9"/>
    <w:rsid w:val="00E77B64"/>
    <w:rsid w:val="00E8174D"/>
    <w:rsid w:val="00E81980"/>
    <w:rsid w:val="00E83387"/>
    <w:rsid w:val="00E91473"/>
    <w:rsid w:val="00E9240F"/>
    <w:rsid w:val="00E9521F"/>
    <w:rsid w:val="00EA7146"/>
    <w:rsid w:val="00EB0D56"/>
    <w:rsid w:val="00EB22EC"/>
    <w:rsid w:val="00EB3CC8"/>
    <w:rsid w:val="00EB4EF9"/>
    <w:rsid w:val="00EB602B"/>
    <w:rsid w:val="00EC16AE"/>
    <w:rsid w:val="00EC3AD2"/>
    <w:rsid w:val="00ED100A"/>
    <w:rsid w:val="00ED1BD4"/>
    <w:rsid w:val="00ED3CAC"/>
    <w:rsid w:val="00EE0BEF"/>
    <w:rsid w:val="00EE54F0"/>
    <w:rsid w:val="00EE7BFA"/>
    <w:rsid w:val="00EF0451"/>
    <w:rsid w:val="00EF41B4"/>
    <w:rsid w:val="00F0136D"/>
    <w:rsid w:val="00F04990"/>
    <w:rsid w:val="00F06F5E"/>
    <w:rsid w:val="00F17C90"/>
    <w:rsid w:val="00F23F79"/>
    <w:rsid w:val="00F30DDB"/>
    <w:rsid w:val="00F337E2"/>
    <w:rsid w:val="00F360D3"/>
    <w:rsid w:val="00F37B4D"/>
    <w:rsid w:val="00F40061"/>
    <w:rsid w:val="00F4394C"/>
    <w:rsid w:val="00F47348"/>
    <w:rsid w:val="00F50BF8"/>
    <w:rsid w:val="00F5335B"/>
    <w:rsid w:val="00F57F82"/>
    <w:rsid w:val="00F62352"/>
    <w:rsid w:val="00F63D85"/>
    <w:rsid w:val="00F65495"/>
    <w:rsid w:val="00F671DD"/>
    <w:rsid w:val="00F71959"/>
    <w:rsid w:val="00F72BCD"/>
    <w:rsid w:val="00F76C1D"/>
    <w:rsid w:val="00F76D14"/>
    <w:rsid w:val="00F81ACA"/>
    <w:rsid w:val="00F83F62"/>
    <w:rsid w:val="00F86590"/>
    <w:rsid w:val="00F90088"/>
    <w:rsid w:val="00F913BA"/>
    <w:rsid w:val="00FA0E86"/>
    <w:rsid w:val="00FA3376"/>
    <w:rsid w:val="00FB1649"/>
    <w:rsid w:val="00FB35D1"/>
    <w:rsid w:val="00FB597E"/>
    <w:rsid w:val="00FB7560"/>
    <w:rsid w:val="00FC01B7"/>
    <w:rsid w:val="00FC0561"/>
    <w:rsid w:val="00FC1DB9"/>
    <w:rsid w:val="00FD058D"/>
    <w:rsid w:val="00FD0A83"/>
    <w:rsid w:val="00FD2DCC"/>
    <w:rsid w:val="00FD4357"/>
    <w:rsid w:val="00FD631B"/>
    <w:rsid w:val="00FE1398"/>
    <w:rsid w:val="00FF167F"/>
    <w:rsid w:val="00FF337B"/>
    <w:rsid w:val="00FF349B"/>
    <w:rsid w:val="00FF52CB"/>
    <w:rsid w:val="00FF66A9"/>
    <w:rsid w:val="00FF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1914"/>
  <w15:chartTrackingRefBased/>
  <w15:docId w15:val="{5906EA4F-3D80-4322-A572-DB7721C1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0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507F"/>
    <w:rPr>
      <w:sz w:val="18"/>
      <w:szCs w:val="18"/>
    </w:rPr>
  </w:style>
  <w:style w:type="paragraph" w:styleId="a5">
    <w:name w:val="footer"/>
    <w:basedOn w:val="a"/>
    <w:link w:val="a6"/>
    <w:uiPriority w:val="99"/>
    <w:unhideWhenUsed/>
    <w:rsid w:val="0062507F"/>
    <w:pPr>
      <w:tabs>
        <w:tab w:val="center" w:pos="4153"/>
        <w:tab w:val="right" w:pos="8306"/>
      </w:tabs>
      <w:snapToGrid w:val="0"/>
      <w:jc w:val="left"/>
    </w:pPr>
    <w:rPr>
      <w:sz w:val="18"/>
      <w:szCs w:val="18"/>
    </w:rPr>
  </w:style>
  <w:style w:type="character" w:customStyle="1" w:styleId="a6">
    <w:name w:val="页脚 字符"/>
    <w:basedOn w:val="a0"/>
    <w:link w:val="a5"/>
    <w:uiPriority w:val="99"/>
    <w:rsid w:val="0062507F"/>
    <w:rPr>
      <w:sz w:val="18"/>
      <w:szCs w:val="18"/>
    </w:rPr>
  </w:style>
  <w:style w:type="table" w:customStyle="1" w:styleId="11">
    <w:name w:val="网格型11"/>
    <w:basedOn w:val="a1"/>
    <w:next w:val="a7"/>
    <w:uiPriority w:val="39"/>
    <w:rsid w:val="00625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25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谷建飞</dc:creator>
  <cp:keywords/>
  <dc:description/>
  <cp:lastModifiedBy>谷建飞</cp:lastModifiedBy>
  <cp:revision>2</cp:revision>
  <dcterms:created xsi:type="dcterms:W3CDTF">2019-07-19T11:47:00Z</dcterms:created>
  <dcterms:modified xsi:type="dcterms:W3CDTF">2019-07-19T11:49:00Z</dcterms:modified>
</cp:coreProperties>
</file>