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eastAsia="方正小标宋简体"/>
          <w:kern w:val="0"/>
          <w:sz w:val="44"/>
          <w:szCs w:val="44"/>
        </w:rPr>
      </w:pPr>
      <w:bookmarkStart w:id="0" w:name="_GoBack"/>
      <w:bookmarkEnd w:id="0"/>
      <w:r>
        <w:rPr>
          <w:rFonts w:eastAsia="方正小标宋简体"/>
          <w:kern w:val="0"/>
          <w:sz w:val="44"/>
          <w:szCs w:val="44"/>
        </w:rPr>
        <w:t>医疗器械唯一标识系统规则</w:t>
      </w:r>
    </w:p>
    <w:p>
      <w:pPr>
        <w:autoSpaceDE w:val="0"/>
        <w:autoSpaceDN w:val="0"/>
        <w:adjustRightInd w:val="0"/>
        <w:spacing w:line="560" w:lineRule="exact"/>
        <w:jc w:val="center"/>
        <w:rPr>
          <w:rFonts w:eastAsia="楷体_GB2312"/>
          <w:kern w:val="0"/>
          <w:sz w:val="32"/>
          <w:szCs w:val="32"/>
        </w:rPr>
      </w:pPr>
      <w:r>
        <w:rPr>
          <w:rFonts w:eastAsia="楷体_GB2312"/>
          <w:kern w:val="0"/>
          <w:sz w:val="32"/>
          <w:szCs w:val="32"/>
        </w:rPr>
        <w:t>（</w:t>
      </w:r>
      <w:r>
        <w:rPr>
          <w:rFonts w:hint="eastAsia" w:eastAsia="楷体_GB2312"/>
          <w:kern w:val="0"/>
          <w:sz w:val="32"/>
          <w:szCs w:val="32"/>
        </w:rPr>
        <w:t>征求意见</w:t>
      </w:r>
      <w:r>
        <w:rPr>
          <w:rFonts w:eastAsia="楷体_GB2312"/>
          <w:kern w:val="0"/>
          <w:sz w:val="32"/>
          <w:szCs w:val="32"/>
        </w:rPr>
        <w:t>稿）</w:t>
      </w:r>
    </w:p>
    <w:p>
      <w:pPr>
        <w:autoSpaceDE w:val="0"/>
        <w:autoSpaceDN w:val="0"/>
        <w:adjustRightInd w:val="0"/>
        <w:spacing w:line="560" w:lineRule="exact"/>
        <w:jc w:val="center"/>
        <w:rPr>
          <w:rFonts w:eastAsia="黑体"/>
          <w:kern w:val="0"/>
          <w:sz w:val="32"/>
          <w:szCs w:val="32"/>
        </w:rPr>
      </w:pPr>
    </w:p>
    <w:p>
      <w:pPr>
        <w:autoSpaceDE w:val="0"/>
        <w:autoSpaceDN w:val="0"/>
        <w:adjustRightInd w:val="0"/>
        <w:jc w:val="center"/>
        <w:rPr>
          <w:rFonts w:ascii="方正小标宋简体" w:eastAsia="方正小标宋简体"/>
          <w:kern w:val="0"/>
          <w:sz w:val="32"/>
          <w:szCs w:val="32"/>
        </w:rPr>
      </w:pPr>
      <w:r>
        <w:rPr>
          <w:rFonts w:hint="eastAsia" w:ascii="方正小标宋简体" w:eastAsia="方正小标宋简体"/>
          <w:kern w:val="0"/>
          <w:sz w:val="32"/>
          <w:szCs w:val="32"/>
        </w:rPr>
        <w:t>第一章 总 则</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第一条【立法目的】</w:t>
      </w:r>
      <w:r>
        <w:rPr>
          <w:rFonts w:eastAsia="仿宋_GB2312"/>
          <w:kern w:val="0"/>
          <w:sz w:val="32"/>
          <w:szCs w:val="32"/>
        </w:rPr>
        <w:t>为建立医疗器械唯一标识系统，加强医疗器械研制、生产、经营和使用环节的监督</w:t>
      </w:r>
      <w:r>
        <w:rPr>
          <w:rFonts w:hint="eastAsia" w:eastAsia="仿宋_GB2312"/>
          <w:kern w:val="0"/>
          <w:sz w:val="32"/>
          <w:szCs w:val="32"/>
        </w:rPr>
        <w:t>和</w:t>
      </w:r>
      <w:r>
        <w:rPr>
          <w:rFonts w:eastAsia="仿宋_GB2312"/>
          <w:kern w:val="0"/>
          <w:sz w:val="32"/>
          <w:szCs w:val="32"/>
        </w:rPr>
        <w:t>管理，提高监督管理效能，创新医疗器械监管模式，根据《医疗器械监督管理条例》有关规定，制定本规则。</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第二条【适用对象】</w:t>
      </w:r>
      <w:r>
        <w:rPr>
          <w:rFonts w:eastAsia="仿宋_GB2312"/>
          <w:kern w:val="0"/>
          <w:sz w:val="32"/>
          <w:szCs w:val="32"/>
        </w:rPr>
        <w:t>在中华人民共和国境内销售、使用的医疗器械应当符合本规则的要求。</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第三条【唯一标识系统定义】</w:t>
      </w:r>
      <w:r>
        <w:rPr>
          <w:rFonts w:eastAsia="仿宋_GB2312"/>
          <w:kern w:val="0"/>
          <w:sz w:val="32"/>
          <w:szCs w:val="32"/>
        </w:rPr>
        <w:t>本规则所称医疗器械唯一标识系统，是指由医疗器械唯一标识、唯一标识数据载体和唯一标识数据库组成的医疗器械统一识别系统。</w:t>
      </w:r>
    </w:p>
    <w:p>
      <w:pPr>
        <w:autoSpaceDE w:val="0"/>
        <w:autoSpaceDN w:val="0"/>
        <w:adjustRightInd w:val="0"/>
        <w:ind w:firstLine="640" w:firstLineChars="200"/>
        <w:rPr>
          <w:rFonts w:eastAsia="仿宋_GB2312"/>
          <w:kern w:val="0"/>
          <w:sz w:val="32"/>
          <w:szCs w:val="32"/>
        </w:rPr>
      </w:pPr>
      <w:r>
        <w:rPr>
          <w:rFonts w:hint="eastAsia" w:eastAsia="仿宋_GB2312"/>
          <w:kern w:val="0"/>
          <w:sz w:val="32"/>
          <w:szCs w:val="32"/>
        </w:rPr>
        <w:t>医疗器械唯一标识是指呈现在医疗器械产品或者包装上的由数字、字母或者符号组成的代码，用于对医疗器械进行唯一性识别。医疗器械唯一标识数据载体是存储或者传输医疗器械唯一标识的数据媒介。医疗器械唯一标识数据库是储存医疗器械唯一标识的产品标识与关联信息的数据库。</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第四条【</w:t>
      </w:r>
      <w:r>
        <w:rPr>
          <w:rFonts w:hint="eastAsia" w:ascii="黑体" w:hAnsi="黑体" w:eastAsia="黑体"/>
          <w:kern w:val="0"/>
          <w:sz w:val="32"/>
          <w:szCs w:val="32"/>
        </w:rPr>
        <w:t>建设原则</w:t>
      </w:r>
      <w:r>
        <w:rPr>
          <w:rFonts w:ascii="黑体" w:hAnsi="黑体" w:eastAsia="黑体"/>
          <w:kern w:val="0"/>
          <w:sz w:val="32"/>
          <w:szCs w:val="32"/>
        </w:rPr>
        <w:t>】</w:t>
      </w:r>
      <w:r>
        <w:rPr>
          <w:rFonts w:hint="eastAsia" w:eastAsia="仿宋_GB2312"/>
          <w:kern w:val="0"/>
          <w:sz w:val="32"/>
          <w:szCs w:val="32"/>
        </w:rPr>
        <w:t>医疗器械唯一标识系统建设应当积极借鉴国际标准，遵循企业主体落实、监管部门指导、分类分步实施、各方统筹协调的原则</w:t>
      </w:r>
      <w:r>
        <w:rPr>
          <w:rFonts w:eastAsia="仿宋_GB2312"/>
          <w:kern w:val="0"/>
          <w:sz w:val="32"/>
          <w:szCs w:val="32"/>
        </w:rPr>
        <w:t>。</w:t>
      </w:r>
    </w:p>
    <w:p>
      <w:pPr>
        <w:autoSpaceDE w:val="0"/>
        <w:autoSpaceDN w:val="0"/>
        <w:adjustRightInd w:val="0"/>
        <w:ind w:firstLine="640" w:firstLineChars="200"/>
        <w:rPr>
          <w:rFonts w:eastAsia="仿宋_GB2312"/>
          <w:kern w:val="0"/>
          <w:sz w:val="32"/>
          <w:szCs w:val="32"/>
        </w:rPr>
      </w:pPr>
      <w:r>
        <w:rPr>
          <w:rFonts w:hint="eastAsia" w:ascii="黑体" w:hAnsi="黑体" w:eastAsia="黑体"/>
          <w:kern w:val="0"/>
          <w:sz w:val="32"/>
          <w:szCs w:val="32"/>
        </w:rPr>
        <w:t>第五条</w:t>
      </w:r>
      <w:r>
        <w:rPr>
          <w:rFonts w:ascii="黑体" w:hAnsi="黑体" w:eastAsia="黑体"/>
          <w:kern w:val="0"/>
          <w:sz w:val="32"/>
          <w:szCs w:val="32"/>
        </w:rPr>
        <w:t>【</w:t>
      </w:r>
      <w:r>
        <w:rPr>
          <w:rFonts w:hint="eastAsia" w:ascii="黑体" w:hAnsi="黑体" w:eastAsia="黑体"/>
          <w:kern w:val="0"/>
          <w:sz w:val="32"/>
          <w:szCs w:val="32"/>
        </w:rPr>
        <w:t>职责</w:t>
      </w:r>
      <w:r>
        <w:rPr>
          <w:rFonts w:ascii="黑体" w:hAnsi="黑体" w:eastAsia="黑体"/>
          <w:kern w:val="0"/>
          <w:sz w:val="32"/>
          <w:szCs w:val="32"/>
        </w:rPr>
        <w:t>】</w:t>
      </w:r>
      <w:r>
        <w:rPr>
          <w:rFonts w:hint="eastAsia" w:eastAsia="仿宋_GB2312"/>
          <w:kern w:val="0"/>
          <w:sz w:val="32"/>
          <w:szCs w:val="32"/>
        </w:rPr>
        <w:t>国家药品监督管理局负责建立医疗器械唯一标识系统制度，制定发布医疗器械唯一标识系统实施规划，促进各方积极应用医疗器械唯一标识进行管理，实现数据互联互通。</w:t>
      </w:r>
    </w:p>
    <w:p>
      <w:pPr>
        <w:autoSpaceDE w:val="0"/>
        <w:autoSpaceDN w:val="0"/>
        <w:adjustRightInd w:val="0"/>
        <w:jc w:val="center"/>
        <w:rPr>
          <w:rFonts w:ascii="方正小标宋简体" w:eastAsia="方正小标宋简体"/>
          <w:kern w:val="0"/>
          <w:sz w:val="32"/>
          <w:szCs w:val="32"/>
        </w:rPr>
      </w:pPr>
      <w:r>
        <w:rPr>
          <w:rFonts w:ascii="方正小标宋简体" w:eastAsia="方正小标宋简体"/>
          <w:kern w:val="0"/>
          <w:sz w:val="32"/>
          <w:szCs w:val="32"/>
        </w:rPr>
        <w:t>第二章 医疗器械唯一标识</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w:t>
      </w:r>
      <w:r>
        <w:rPr>
          <w:rFonts w:hint="eastAsia" w:ascii="黑体" w:hAnsi="黑体" w:eastAsia="黑体"/>
          <w:kern w:val="0"/>
          <w:sz w:val="32"/>
          <w:szCs w:val="32"/>
        </w:rPr>
        <w:t>六</w:t>
      </w:r>
      <w:r>
        <w:rPr>
          <w:rFonts w:ascii="黑体" w:hAnsi="黑体" w:eastAsia="黑体"/>
          <w:kern w:val="0"/>
          <w:sz w:val="32"/>
          <w:szCs w:val="32"/>
        </w:rPr>
        <w:t>条【唯一标识组成】</w:t>
      </w:r>
      <w:r>
        <w:rPr>
          <w:rFonts w:eastAsia="仿宋_GB2312"/>
          <w:kern w:val="0"/>
          <w:sz w:val="32"/>
          <w:szCs w:val="32"/>
        </w:rPr>
        <w:t>医疗器械唯一标识应当包括产品标识和生产标识。产品标识是</w:t>
      </w:r>
      <w:r>
        <w:rPr>
          <w:rFonts w:hint="eastAsia" w:eastAsia="仿宋_GB2312"/>
          <w:kern w:val="0"/>
          <w:sz w:val="32"/>
          <w:szCs w:val="32"/>
        </w:rPr>
        <w:t>识别</w:t>
      </w:r>
      <w:r>
        <w:rPr>
          <w:rFonts w:eastAsia="仿宋_GB2312"/>
          <w:kern w:val="0"/>
          <w:sz w:val="32"/>
          <w:szCs w:val="32"/>
        </w:rPr>
        <w:t>医疗器械</w:t>
      </w:r>
      <w:r>
        <w:rPr>
          <w:rFonts w:hint="eastAsia" w:eastAsia="仿宋_GB2312"/>
          <w:kern w:val="0"/>
          <w:sz w:val="32"/>
          <w:szCs w:val="32"/>
        </w:rPr>
        <w:t>上市许可持有人</w:t>
      </w:r>
      <w:r>
        <w:rPr>
          <w:rFonts w:eastAsia="仿宋_GB2312"/>
          <w:kern w:val="0"/>
          <w:sz w:val="32"/>
          <w:szCs w:val="32"/>
        </w:rPr>
        <w:t>、医疗器械型号规格和包装的唯一</w:t>
      </w:r>
      <w:r>
        <w:rPr>
          <w:rFonts w:hint="eastAsia" w:eastAsia="仿宋_GB2312"/>
          <w:kern w:val="0"/>
          <w:sz w:val="32"/>
          <w:szCs w:val="32"/>
        </w:rPr>
        <w:t>代</w:t>
      </w:r>
      <w:r>
        <w:rPr>
          <w:rFonts w:eastAsia="仿宋_GB2312"/>
          <w:kern w:val="0"/>
          <w:sz w:val="32"/>
          <w:szCs w:val="32"/>
        </w:rPr>
        <w:t>码；生产标识是</w:t>
      </w:r>
      <w:r>
        <w:rPr>
          <w:rFonts w:hint="eastAsia" w:eastAsia="仿宋_GB2312"/>
          <w:kern w:val="0"/>
          <w:sz w:val="32"/>
          <w:szCs w:val="32"/>
        </w:rPr>
        <w:t>由</w:t>
      </w:r>
      <w:r>
        <w:rPr>
          <w:rFonts w:eastAsia="仿宋_GB2312"/>
          <w:kern w:val="0"/>
          <w:sz w:val="32"/>
          <w:szCs w:val="32"/>
        </w:rPr>
        <w:t>医疗器械生产过程相关</w:t>
      </w:r>
      <w:r>
        <w:rPr>
          <w:rFonts w:hint="eastAsia" w:eastAsia="仿宋_GB2312"/>
          <w:kern w:val="0"/>
          <w:sz w:val="32"/>
          <w:szCs w:val="32"/>
        </w:rPr>
        <w:t>信息</w:t>
      </w:r>
      <w:r>
        <w:rPr>
          <w:rFonts w:eastAsia="仿宋_GB2312"/>
          <w:kern w:val="0"/>
          <w:sz w:val="32"/>
          <w:szCs w:val="32"/>
        </w:rPr>
        <w:t>的代码</w:t>
      </w:r>
      <w:r>
        <w:rPr>
          <w:rFonts w:hint="eastAsia" w:eastAsia="仿宋_GB2312"/>
          <w:kern w:val="0"/>
          <w:sz w:val="32"/>
          <w:szCs w:val="32"/>
        </w:rPr>
        <w:t>组成</w:t>
      </w:r>
      <w:r>
        <w:rPr>
          <w:rFonts w:eastAsia="仿宋_GB2312"/>
          <w:kern w:val="0"/>
          <w:sz w:val="32"/>
          <w:szCs w:val="32"/>
        </w:rPr>
        <w:t>，根据监管和实际应用需求</w:t>
      </w:r>
      <w:r>
        <w:rPr>
          <w:rFonts w:hint="eastAsia" w:eastAsia="仿宋_GB2312"/>
          <w:kern w:val="0"/>
          <w:sz w:val="32"/>
          <w:szCs w:val="32"/>
        </w:rPr>
        <w:t>，</w:t>
      </w:r>
      <w:r>
        <w:rPr>
          <w:rFonts w:eastAsia="仿宋_GB2312"/>
          <w:kern w:val="0"/>
          <w:sz w:val="32"/>
          <w:szCs w:val="32"/>
        </w:rPr>
        <w:t>可包含医疗器械序列号、生产批号、生产日期、失效日期。</w:t>
      </w:r>
    </w:p>
    <w:p>
      <w:pPr>
        <w:autoSpaceDE w:val="0"/>
        <w:autoSpaceDN w:val="0"/>
        <w:adjustRightInd w:val="0"/>
        <w:ind w:firstLine="640" w:firstLineChars="200"/>
        <w:rPr>
          <w:rFonts w:eastAsia="仿宋_GB2312"/>
          <w:kern w:val="0"/>
          <w:sz w:val="32"/>
          <w:szCs w:val="32"/>
        </w:rPr>
      </w:pPr>
      <w:r>
        <w:rPr>
          <w:rFonts w:eastAsia="仿宋_GB2312"/>
          <w:kern w:val="0"/>
          <w:sz w:val="32"/>
          <w:szCs w:val="32"/>
        </w:rPr>
        <w:t>产品发生可能影响医疗器械识别、追溯或者监管要求变化时，应当创建新的产品标识。</w:t>
      </w:r>
    </w:p>
    <w:p>
      <w:pPr>
        <w:autoSpaceDE w:val="0"/>
        <w:autoSpaceDN w:val="0"/>
        <w:adjustRightInd w:val="0"/>
        <w:ind w:firstLine="640" w:firstLineChars="200"/>
        <w:rPr>
          <w:rFonts w:eastAsia="仿宋_GB2312"/>
          <w:kern w:val="0"/>
          <w:sz w:val="32"/>
          <w:szCs w:val="32"/>
        </w:rPr>
      </w:pPr>
      <w:r>
        <w:rPr>
          <w:rFonts w:eastAsia="仿宋_GB2312"/>
          <w:kern w:val="0"/>
          <w:sz w:val="32"/>
          <w:szCs w:val="32"/>
        </w:rPr>
        <w:t>当医疗器械停止销售、使用时，其产品标识不得用于其他医疗器械；重新销售、使用时，可使用原产品标识。</w:t>
      </w:r>
    </w:p>
    <w:p>
      <w:pPr>
        <w:autoSpaceDE w:val="0"/>
        <w:autoSpaceDN w:val="0"/>
        <w:adjustRightInd w:val="0"/>
        <w:ind w:firstLine="640" w:firstLineChars="200"/>
        <w:rPr>
          <w:rFonts w:eastAsia="仿宋_GB2312"/>
          <w:sz w:val="32"/>
          <w:szCs w:val="32"/>
        </w:rPr>
      </w:pPr>
      <w:r>
        <w:rPr>
          <w:rFonts w:ascii="黑体" w:hAnsi="黑体" w:eastAsia="黑体"/>
          <w:kern w:val="0"/>
          <w:sz w:val="32"/>
          <w:szCs w:val="32"/>
        </w:rPr>
        <w:t>第</w:t>
      </w:r>
      <w:r>
        <w:rPr>
          <w:rFonts w:hint="eastAsia" w:ascii="黑体" w:hAnsi="黑体" w:eastAsia="黑体"/>
          <w:kern w:val="0"/>
          <w:sz w:val="32"/>
          <w:szCs w:val="32"/>
        </w:rPr>
        <w:t>七</w:t>
      </w:r>
      <w:r>
        <w:rPr>
          <w:rFonts w:ascii="黑体" w:hAnsi="黑体" w:eastAsia="黑体"/>
          <w:kern w:val="0"/>
          <w:sz w:val="32"/>
          <w:szCs w:val="32"/>
        </w:rPr>
        <w:t>条【唯一标识的基本原则】</w:t>
      </w:r>
      <w:r>
        <w:rPr>
          <w:rFonts w:eastAsia="仿宋_GB2312"/>
          <w:kern w:val="0"/>
          <w:sz w:val="32"/>
          <w:szCs w:val="32"/>
        </w:rPr>
        <w:t>医疗器械唯一标识</w:t>
      </w:r>
      <w:r>
        <w:rPr>
          <w:rFonts w:eastAsia="仿宋_GB2312"/>
          <w:sz w:val="32"/>
          <w:szCs w:val="32"/>
        </w:rPr>
        <w:t>应当符合唯一性、稳定性和可扩展性的原则。</w:t>
      </w:r>
    </w:p>
    <w:p>
      <w:pPr>
        <w:autoSpaceDE w:val="0"/>
        <w:autoSpaceDN w:val="0"/>
        <w:adjustRightInd w:val="0"/>
        <w:ind w:firstLine="640" w:firstLineChars="200"/>
        <w:rPr>
          <w:rFonts w:eastAsia="仿宋_GB2312"/>
          <w:sz w:val="32"/>
          <w:szCs w:val="32"/>
        </w:rPr>
      </w:pPr>
      <w:r>
        <w:rPr>
          <w:rFonts w:eastAsia="仿宋_GB2312"/>
          <w:sz w:val="32"/>
          <w:szCs w:val="32"/>
        </w:rPr>
        <w:t>唯一性：医疗器械唯一标识应当与医疗器械识别要求相一致。</w:t>
      </w:r>
    </w:p>
    <w:p>
      <w:pPr>
        <w:autoSpaceDE w:val="0"/>
        <w:autoSpaceDN w:val="0"/>
        <w:adjustRightInd w:val="0"/>
        <w:ind w:firstLine="640" w:firstLineChars="200"/>
        <w:rPr>
          <w:rFonts w:eastAsia="仿宋_GB2312"/>
          <w:sz w:val="32"/>
          <w:szCs w:val="32"/>
        </w:rPr>
      </w:pPr>
      <w:r>
        <w:rPr>
          <w:rFonts w:eastAsia="仿宋_GB2312"/>
          <w:sz w:val="32"/>
          <w:szCs w:val="32"/>
        </w:rPr>
        <w:t>稳定性：医疗器械唯一标识应当与产品基本特征相关，若产品的基本特征未变化，产品标识应当保持不变。</w:t>
      </w:r>
    </w:p>
    <w:p>
      <w:pPr>
        <w:autoSpaceDE w:val="0"/>
        <w:autoSpaceDN w:val="0"/>
        <w:adjustRightInd w:val="0"/>
        <w:ind w:firstLine="640" w:firstLineChars="200"/>
        <w:rPr>
          <w:rFonts w:eastAsia="仿宋_GB2312"/>
          <w:sz w:val="32"/>
          <w:szCs w:val="32"/>
        </w:rPr>
      </w:pPr>
      <w:r>
        <w:rPr>
          <w:rFonts w:eastAsia="仿宋_GB2312"/>
          <w:sz w:val="32"/>
          <w:szCs w:val="32"/>
        </w:rPr>
        <w:t>可扩展性：医疗器械唯一标识应当与监管要求和实际应用不断发展相适应。</w:t>
      </w:r>
    </w:p>
    <w:p>
      <w:pPr>
        <w:ind w:firstLine="640" w:firstLineChars="200"/>
        <w:rPr>
          <w:rFonts w:eastAsia="仿宋_GB2312"/>
          <w:sz w:val="32"/>
          <w:szCs w:val="32"/>
        </w:rPr>
      </w:pPr>
      <w:r>
        <w:rPr>
          <w:rFonts w:ascii="黑体" w:hAnsi="黑体" w:eastAsia="黑体"/>
          <w:kern w:val="0"/>
          <w:sz w:val="32"/>
          <w:szCs w:val="32"/>
        </w:rPr>
        <w:t>第</w:t>
      </w:r>
      <w:r>
        <w:rPr>
          <w:rFonts w:hint="eastAsia" w:ascii="黑体" w:hAnsi="黑体" w:eastAsia="黑体"/>
          <w:kern w:val="0"/>
          <w:sz w:val="32"/>
          <w:szCs w:val="32"/>
        </w:rPr>
        <w:t>八</w:t>
      </w:r>
      <w:r>
        <w:rPr>
          <w:rFonts w:ascii="黑体" w:hAnsi="黑体" w:eastAsia="黑体"/>
          <w:kern w:val="0"/>
          <w:sz w:val="32"/>
          <w:szCs w:val="32"/>
        </w:rPr>
        <w:t>条【唯一标识的创建要求】</w:t>
      </w:r>
      <w:r>
        <w:rPr>
          <w:rFonts w:eastAsia="仿宋_GB2312"/>
          <w:sz w:val="32"/>
          <w:szCs w:val="32"/>
        </w:rPr>
        <w:t>医疗器械</w:t>
      </w:r>
      <w:r>
        <w:rPr>
          <w:rFonts w:hint="eastAsia" w:eastAsia="仿宋_GB2312"/>
          <w:sz w:val="32"/>
          <w:szCs w:val="32"/>
        </w:rPr>
        <w:t>上市许可持有人</w:t>
      </w:r>
      <w:r>
        <w:rPr>
          <w:rFonts w:eastAsia="仿宋_GB2312"/>
          <w:sz w:val="32"/>
          <w:szCs w:val="32"/>
        </w:rPr>
        <w:t>应当按照</w:t>
      </w:r>
      <w:r>
        <w:rPr>
          <w:rFonts w:hint="eastAsia" w:eastAsia="仿宋_GB2312"/>
          <w:sz w:val="32"/>
          <w:szCs w:val="32"/>
        </w:rPr>
        <w:t>医疗器械唯一标识编制</w:t>
      </w:r>
      <w:r>
        <w:rPr>
          <w:rFonts w:eastAsia="仿宋_GB2312"/>
          <w:sz w:val="32"/>
          <w:szCs w:val="32"/>
        </w:rPr>
        <w:t>标准创建、维护医疗器械唯一标识。</w:t>
      </w:r>
      <w:r>
        <w:rPr>
          <w:rFonts w:hint="eastAsia" w:eastAsia="仿宋_GB2312"/>
          <w:sz w:val="32"/>
          <w:szCs w:val="32"/>
        </w:rPr>
        <w:t>医疗器械唯一标识编制标准包括符合本规则第九条要求的发码机构或者国家药品监督管理局制定的相关标准。</w:t>
      </w:r>
    </w:p>
    <w:p>
      <w:pPr>
        <w:ind w:firstLine="640" w:firstLineChars="200"/>
        <w:rPr>
          <w:rFonts w:eastAsia="仿宋_GB2312"/>
          <w:kern w:val="0"/>
          <w:sz w:val="32"/>
          <w:szCs w:val="32"/>
        </w:rPr>
      </w:pPr>
      <w:r>
        <w:rPr>
          <w:rFonts w:hint="eastAsia" w:ascii="黑体" w:hAnsi="黑体" w:eastAsia="黑体"/>
          <w:kern w:val="0"/>
          <w:sz w:val="32"/>
          <w:szCs w:val="32"/>
        </w:rPr>
        <w:t>第九条【发码机构要求】</w:t>
      </w:r>
      <w:r>
        <w:rPr>
          <w:rFonts w:hint="eastAsia" w:eastAsia="仿宋_GB2312"/>
          <w:kern w:val="0"/>
          <w:sz w:val="32"/>
          <w:szCs w:val="32"/>
        </w:rPr>
        <w:t>发码机构应当为中国境内的法人机构，且应当具备完善的管理制度和运行体系以确保按照其标准创建的医疗器械唯一标识的唯一性，并符合国家数据安全有关要求。发码机构应当向医疗器械上市许可持有人提供执行其标准的流程并指导实施，并在每年1月31日前向国家药品监督管理局提供按照其标准创建的唯一标识的报告。</w:t>
      </w:r>
    </w:p>
    <w:p>
      <w:pPr>
        <w:ind w:firstLine="640" w:firstLineChars="200"/>
        <w:rPr>
          <w:rFonts w:eastAsia="仿宋_GB2312"/>
          <w:kern w:val="0"/>
          <w:sz w:val="32"/>
          <w:szCs w:val="32"/>
        </w:rPr>
      </w:pPr>
      <w:r>
        <w:rPr>
          <w:rFonts w:hint="eastAsia" w:eastAsia="仿宋_GB2312"/>
          <w:kern w:val="0"/>
          <w:sz w:val="32"/>
          <w:szCs w:val="32"/>
        </w:rPr>
        <w:t>国家鼓励发码机构采用相关国际标准建立唯一标识运行体系。</w:t>
      </w:r>
    </w:p>
    <w:p>
      <w:pPr>
        <w:autoSpaceDE w:val="0"/>
        <w:autoSpaceDN w:val="0"/>
        <w:adjustRightInd w:val="0"/>
        <w:jc w:val="center"/>
        <w:rPr>
          <w:rFonts w:ascii="方正小标宋简体" w:eastAsia="方正小标宋简体"/>
          <w:kern w:val="0"/>
          <w:sz w:val="32"/>
          <w:szCs w:val="32"/>
        </w:rPr>
      </w:pPr>
      <w:r>
        <w:rPr>
          <w:rFonts w:ascii="方正小标宋简体" w:eastAsia="方正小标宋简体"/>
          <w:kern w:val="0"/>
          <w:sz w:val="32"/>
          <w:szCs w:val="32"/>
        </w:rPr>
        <w:t>第三章 唯一标识数据载体</w:t>
      </w:r>
    </w:p>
    <w:p>
      <w:pPr>
        <w:ind w:firstLine="640" w:firstLineChars="200"/>
        <w:rPr>
          <w:rFonts w:eastAsia="仿宋_GB2312"/>
          <w:kern w:val="0"/>
          <w:sz w:val="32"/>
          <w:szCs w:val="32"/>
        </w:rPr>
      </w:pPr>
      <w:r>
        <w:rPr>
          <w:rFonts w:ascii="黑体" w:hAnsi="黑体" w:eastAsia="黑体"/>
          <w:kern w:val="0"/>
          <w:sz w:val="32"/>
          <w:szCs w:val="32"/>
        </w:rPr>
        <w:t>第十条【唯一标识数据载体要求】</w:t>
      </w:r>
      <w:r>
        <w:rPr>
          <w:rFonts w:eastAsia="仿宋_GB2312"/>
          <w:kern w:val="0"/>
          <w:sz w:val="32"/>
          <w:szCs w:val="32"/>
        </w:rPr>
        <w:t>医疗器械唯一标识数据载体应当满足自动识别和数据采集技术以及人工识读的要求。若因空间有限或者使用受限，原则上优先采用符合自动识别和数据采集技术的载体形式。</w:t>
      </w:r>
    </w:p>
    <w:p>
      <w:pPr>
        <w:ind w:firstLine="640" w:firstLineChars="200"/>
        <w:rPr>
          <w:rFonts w:eastAsia="仿宋_GB2312"/>
          <w:kern w:val="0"/>
          <w:sz w:val="32"/>
          <w:szCs w:val="32"/>
        </w:rPr>
      </w:pPr>
      <w:r>
        <w:rPr>
          <w:rFonts w:eastAsia="仿宋_GB2312"/>
          <w:kern w:val="0"/>
          <w:sz w:val="32"/>
          <w:szCs w:val="32"/>
        </w:rPr>
        <w:t>自动识别和数据采集技术</w:t>
      </w:r>
      <w:r>
        <w:rPr>
          <w:rFonts w:hint="eastAsia" w:eastAsia="仿宋_GB2312"/>
          <w:kern w:val="0"/>
          <w:sz w:val="32"/>
          <w:szCs w:val="32"/>
        </w:rPr>
        <w:t>包括</w:t>
      </w:r>
      <w:r>
        <w:rPr>
          <w:rFonts w:eastAsia="仿宋_GB2312"/>
          <w:kern w:val="0"/>
          <w:sz w:val="32"/>
          <w:szCs w:val="32"/>
        </w:rPr>
        <w:t>一维</w:t>
      </w:r>
      <w:r>
        <w:rPr>
          <w:rFonts w:eastAsia="仿宋_GB2312"/>
          <w:color w:val="000000"/>
          <w:kern w:val="0"/>
          <w:sz w:val="32"/>
          <w:szCs w:val="32"/>
        </w:rPr>
        <w:t>码</w:t>
      </w:r>
      <w:r>
        <w:rPr>
          <w:rFonts w:eastAsia="仿宋_GB2312"/>
          <w:kern w:val="0"/>
          <w:sz w:val="32"/>
          <w:szCs w:val="32"/>
        </w:rPr>
        <w:t>、二维码或者射频标签等形式</w:t>
      </w:r>
      <w:r>
        <w:rPr>
          <w:rFonts w:hint="eastAsia" w:eastAsia="仿宋_GB2312"/>
          <w:kern w:val="0"/>
          <w:sz w:val="32"/>
          <w:szCs w:val="32"/>
        </w:rPr>
        <w:t>，</w:t>
      </w:r>
      <w:r>
        <w:rPr>
          <w:rFonts w:eastAsia="仿宋_GB2312"/>
          <w:kern w:val="0"/>
          <w:sz w:val="32"/>
          <w:szCs w:val="32"/>
        </w:rPr>
        <w:t>鼓励采用先进的自动识别和数据采集技术。</w:t>
      </w:r>
    </w:p>
    <w:p>
      <w:pPr>
        <w:ind w:firstLine="640" w:firstLineChars="200"/>
        <w:rPr>
          <w:rFonts w:eastAsia="仿宋_GB2312"/>
          <w:kern w:val="0"/>
          <w:sz w:val="32"/>
          <w:szCs w:val="32"/>
        </w:rPr>
      </w:pPr>
      <w:r>
        <w:rPr>
          <w:rFonts w:eastAsia="仿宋_GB2312"/>
          <w:kern w:val="0"/>
          <w:sz w:val="32"/>
          <w:szCs w:val="32"/>
        </w:rPr>
        <w:t>采用一维</w:t>
      </w:r>
      <w:r>
        <w:rPr>
          <w:rFonts w:eastAsia="仿宋_GB2312"/>
          <w:color w:val="000000"/>
          <w:kern w:val="0"/>
          <w:sz w:val="32"/>
          <w:szCs w:val="32"/>
        </w:rPr>
        <w:t>码</w:t>
      </w:r>
      <w:r>
        <w:rPr>
          <w:rFonts w:eastAsia="仿宋_GB2312"/>
          <w:kern w:val="0"/>
          <w:sz w:val="32"/>
          <w:szCs w:val="32"/>
        </w:rPr>
        <w:t>时，可将产品标识和生产标识串联，也可多行并联；采用射频标签时，应当同时具备一维码或</w:t>
      </w:r>
      <w:r>
        <w:rPr>
          <w:rFonts w:hint="eastAsia" w:eastAsia="仿宋_GB2312"/>
          <w:kern w:val="0"/>
          <w:sz w:val="32"/>
          <w:szCs w:val="32"/>
        </w:rPr>
        <w:t>者</w:t>
      </w:r>
      <w:r>
        <w:rPr>
          <w:rFonts w:eastAsia="仿宋_GB2312"/>
          <w:kern w:val="0"/>
          <w:sz w:val="32"/>
          <w:szCs w:val="32"/>
        </w:rPr>
        <w:t>二维码。</w:t>
      </w:r>
    </w:p>
    <w:p>
      <w:pPr>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一</w:t>
      </w:r>
      <w:r>
        <w:rPr>
          <w:rFonts w:ascii="黑体" w:hAnsi="黑体" w:eastAsia="黑体"/>
          <w:kern w:val="0"/>
          <w:sz w:val="32"/>
          <w:szCs w:val="32"/>
        </w:rPr>
        <w:t>条【赋予唯一标识数据载体要求】</w:t>
      </w:r>
      <w:r>
        <w:rPr>
          <w:rFonts w:eastAsia="仿宋_GB2312"/>
          <w:kern w:val="0"/>
          <w:sz w:val="32"/>
          <w:szCs w:val="32"/>
        </w:rPr>
        <w:t>医疗器械</w:t>
      </w:r>
      <w:r>
        <w:rPr>
          <w:rFonts w:hint="eastAsia" w:eastAsia="仿宋_GB2312"/>
          <w:kern w:val="0"/>
          <w:sz w:val="32"/>
          <w:szCs w:val="32"/>
        </w:rPr>
        <w:t>上市许可持有人</w:t>
      </w:r>
      <w:r>
        <w:rPr>
          <w:rFonts w:eastAsia="仿宋_GB2312"/>
          <w:kern w:val="0"/>
          <w:sz w:val="32"/>
          <w:szCs w:val="32"/>
        </w:rPr>
        <w:t>应当选择与其创建的医疗器械唯一标识相适应的数据载体标准，对以其名义上市的医疗器械各级销售单元的包装或者医疗器械产品上赋予唯一标识数据载体，并确保在医疗器械经营使用期间唯一标识数据载体牢固、清晰、可读。</w:t>
      </w:r>
    </w:p>
    <w:p>
      <w:pPr>
        <w:autoSpaceDE w:val="0"/>
        <w:autoSpaceDN w:val="0"/>
        <w:adjustRightInd w:val="0"/>
        <w:jc w:val="center"/>
        <w:rPr>
          <w:rFonts w:eastAsia="仿宋_GB2312"/>
          <w:kern w:val="0"/>
          <w:sz w:val="32"/>
          <w:szCs w:val="32"/>
        </w:rPr>
      </w:pPr>
      <w:r>
        <w:rPr>
          <w:rFonts w:ascii="方正小标宋简体" w:eastAsia="方正小标宋简体"/>
          <w:kern w:val="0"/>
          <w:sz w:val="32"/>
          <w:szCs w:val="32"/>
        </w:rPr>
        <w:t>第四章 唯一标识数据库</w:t>
      </w:r>
    </w:p>
    <w:p>
      <w:pPr>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二</w:t>
      </w:r>
      <w:r>
        <w:rPr>
          <w:rFonts w:ascii="黑体" w:hAnsi="黑体" w:eastAsia="黑体"/>
          <w:kern w:val="0"/>
          <w:sz w:val="32"/>
          <w:szCs w:val="32"/>
        </w:rPr>
        <w:t>条</w:t>
      </w:r>
      <w:r>
        <w:rPr>
          <w:rFonts w:hint="eastAsia" w:ascii="黑体" w:hAnsi="黑体" w:eastAsia="黑体"/>
          <w:kern w:val="0"/>
          <w:sz w:val="32"/>
          <w:szCs w:val="32"/>
        </w:rPr>
        <w:t xml:space="preserve"> 【唯一标识数据库】</w:t>
      </w:r>
      <w:r>
        <w:rPr>
          <w:rFonts w:hint="eastAsia" w:eastAsia="仿宋_GB2312"/>
          <w:kern w:val="0"/>
          <w:sz w:val="32"/>
          <w:szCs w:val="32"/>
        </w:rPr>
        <w:t>医疗器械唯一标识数据库包含医疗器械的产品标识及相关数据。</w:t>
      </w:r>
    </w:p>
    <w:p>
      <w:pPr>
        <w:ind w:firstLine="640" w:firstLineChars="200"/>
        <w:rPr>
          <w:rFonts w:eastAsia="仿宋_GB2312"/>
          <w:kern w:val="0"/>
          <w:sz w:val="32"/>
          <w:szCs w:val="32"/>
        </w:rPr>
      </w:pPr>
      <w:r>
        <w:rPr>
          <w:rFonts w:eastAsia="仿宋_GB2312"/>
          <w:kern w:val="0"/>
          <w:sz w:val="32"/>
          <w:szCs w:val="32"/>
        </w:rPr>
        <w:t>国家药品监督管理局制定医疗器械唯一标识数据相关标准及规范，组织建立医疗器械唯一标识数据库，供公众查询。</w:t>
      </w:r>
    </w:p>
    <w:p>
      <w:pPr>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三</w:t>
      </w:r>
      <w:r>
        <w:rPr>
          <w:rFonts w:ascii="黑体" w:hAnsi="黑体" w:eastAsia="黑体"/>
          <w:kern w:val="0"/>
          <w:sz w:val="32"/>
          <w:szCs w:val="32"/>
        </w:rPr>
        <w:t>条【</w:t>
      </w:r>
      <w:r>
        <w:rPr>
          <w:rFonts w:hint="eastAsia" w:ascii="黑体" w:hAnsi="黑体" w:eastAsia="黑体"/>
          <w:kern w:val="0"/>
          <w:sz w:val="32"/>
          <w:szCs w:val="32"/>
        </w:rPr>
        <w:t>赋码</w:t>
      </w:r>
      <w:r>
        <w:rPr>
          <w:rFonts w:ascii="黑体" w:hAnsi="黑体" w:eastAsia="黑体"/>
          <w:kern w:val="0"/>
          <w:sz w:val="32"/>
          <w:szCs w:val="32"/>
        </w:rPr>
        <w:t>责任主体】</w:t>
      </w:r>
      <w:r>
        <w:rPr>
          <w:rFonts w:eastAsia="仿宋_GB2312"/>
          <w:kern w:val="0"/>
          <w:sz w:val="32"/>
          <w:szCs w:val="32"/>
        </w:rPr>
        <w:t>医疗器械</w:t>
      </w:r>
      <w:r>
        <w:rPr>
          <w:rFonts w:hint="eastAsia" w:eastAsia="仿宋_GB2312"/>
          <w:kern w:val="0"/>
          <w:sz w:val="32"/>
          <w:szCs w:val="32"/>
        </w:rPr>
        <w:t>上市许可持有人</w:t>
      </w:r>
      <w:r>
        <w:rPr>
          <w:rFonts w:eastAsia="仿宋_GB2312"/>
          <w:kern w:val="0"/>
          <w:sz w:val="32"/>
          <w:szCs w:val="32"/>
        </w:rPr>
        <w:t>应当按照相关标准或者</w:t>
      </w:r>
      <w:r>
        <w:rPr>
          <w:rFonts w:hint="eastAsia" w:eastAsia="仿宋_GB2312"/>
          <w:kern w:val="0"/>
          <w:sz w:val="32"/>
          <w:szCs w:val="32"/>
        </w:rPr>
        <w:t>规范</w:t>
      </w:r>
      <w:r>
        <w:rPr>
          <w:rFonts w:eastAsia="仿宋_GB2312"/>
          <w:kern w:val="0"/>
          <w:sz w:val="32"/>
          <w:szCs w:val="32"/>
        </w:rPr>
        <w:t>要求上传、维护和更新唯一标识数据库中的相关数据，并对数据的真实性、准确性负责。</w:t>
      </w:r>
    </w:p>
    <w:p>
      <w:pPr>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四</w:t>
      </w:r>
      <w:r>
        <w:rPr>
          <w:rFonts w:ascii="黑体" w:hAnsi="黑体" w:eastAsia="黑体"/>
          <w:kern w:val="0"/>
          <w:sz w:val="32"/>
          <w:szCs w:val="32"/>
        </w:rPr>
        <w:t>条【唯一标识数据的提交要求】</w:t>
      </w:r>
      <w:r>
        <w:rPr>
          <w:rFonts w:hint="eastAsia" w:ascii="黑体" w:hAnsi="黑体" w:eastAsia="黑体"/>
          <w:kern w:val="0"/>
          <w:sz w:val="32"/>
          <w:szCs w:val="32"/>
        </w:rPr>
        <w:t>医疗器械</w:t>
      </w:r>
      <w:r>
        <w:rPr>
          <w:rFonts w:hint="eastAsia" w:eastAsia="仿宋_GB2312"/>
          <w:kern w:val="0"/>
          <w:sz w:val="32"/>
          <w:szCs w:val="32"/>
        </w:rPr>
        <w:t>上市许可持有人</w:t>
      </w:r>
      <w:r>
        <w:rPr>
          <w:rFonts w:eastAsia="仿宋_GB2312"/>
          <w:kern w:val="0"/>
          <w:sz w:val="32"/>
          <w:szCs w:val="32"/>
        </w:rPr>
        <w:t>应当在其产品获准注册、取得备案或者变更后60个工作日内，</w:t>
      </w:r>
      <w:r>
        <w:rPr>
          <w:rFonts w:hint="eastAsia" w:eastAsia="仿宋_GB2312"/>
          <w:kern w:val="0"/>
          <w:sz w:val="32"/>
          <w:szCs w:val="32"/>
        </w:rPr>
        <w:t>并在产品上市销售前</w:t>
      </w:r>
      <w:r>
        <w:rPr>
          <w:rFonts w:eastAsia="仿宋_GB2312"/>
          <w:kern w:val="0"/>
          <w:sz w:val="32"/>
          <w:szCs w:val="32"/>
        </w:rPr>
        <w:t>将产品标识及相关数据上传至医疗器械唯一标识数据库。</w:t>
      </w:r>
    </w:p>
    <w:p>
      <w:pPr>
        <w:autoSpaceDE w:val="0"/>
        <w:autoSpaceDN w:val="0"/>
        <w:adjustRightInd w:val="0"/>
        <w:jc w:val="center"/>
        <w:rPr>
          <w:rFonts w:ascii="方正小标宋简体" w:eastAsia="方正小标宋简体"/>
          <w:kern w:val="0"/>
          <w:sz w:val="32"/>
          <w:szCs w:val="32"/>
        </w:rPr>
      </w:pPr>
      <w:r>
        <w:rPr>
          <w:rFonts w:ascii="方正小标宋简体" w:eastAsia="方正小标宋简体"/>
          <w:kern w:val="0"/>
          <w:sz w:val="32"/>
          <w:szCs w:val="32"/>
        </w:rPr>
        <w:t>第五章 附 则</w:t>
      </w:r>
    </w:p>
    <w:p>
      <w:pPr>
        <w:autoSpaceDE w:val="0"/>
        <w:autoSpaceDN w:val="0"/>
        <w:adjustRightInd w:val="0"/>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五</w:t>
      </w:r>
      <w:r>
        <w:rPr>
          <w:rFonts w:ascii="黑体" w:hAnsi="黑体" w:eastAsia="黑体"/>
          <w:kern w:val="0"/>
          <w:sz w:val="32"/>
          <w:szCs w:val="32"/>
        </w:rPr>
        <w:t>条【唯一标识使用要求】</w:t>
      </w:r>
      <w:r>
        <w:rPr>
          <w:rFonts w:eastAsia="仿宋_GB2312"/>
          <w:kern w:val="0"/>
          <w:sz w:val="32"/>
          <w:szCs w:val="32"/>
        </w:rPr>
        <w:t>药品监督管理部门可根据监管需求调用和管理相关数据。</w:t>
      </w:r>
    </w:p>
    <w:p>
      <w:pPr>
        <w:ind w:firstLine="640" w:firstLineChars="200"/>
        <w:rPr>
          <w:rFonts w:eastAsia="仿宋_GB2312"/>
          <w:kern w:val="0"/>
          <w:sz w:val="32"/>
          <w:szCs w:val="32"/>
        </w:rPr>
      </w:pPr>
      <w:r>
        <w:rPr>
          <w:rFonts w:eastAsia="仿宋_GB2312"/>
          <w:kern w:val="0"/>
          <w:sz w:val="32"/>
          <w:szCs w:val="32"/>
        </w:rPr>
        <w:t>鼓励医疗器械生产经营企业和使用单位应用医疗器械唯一标识</w:t>
      </w:r>
      <w:r>
        <w:rPr>
          <w:rFonts w:hint="eastAsia" w:eastAsia="仿宋_GB2312"/>
          <w:kern w:val="0"/>
          <w:sz w:val="32"/>
          <w:szCs w:val="32"/>
        </w:rPr>
        <w:t>，采用先进信息化手段</w:t>
      </w:r>
      <w:r>
        <w:rPr>
          <w:rFonts w:eastAsia="仿宋_GB2312"/>
          <w:kern w:val="0"/>
          <w:sz w:val="32"/>
          <w:szCs w:val="32"/>
        </w:rPr>
        <w:t>开展产品相关管理。</w:t>
      </w:r>
    </w:p>
    <w:p>
      <w:pPr>
        <w:ind w:firstLine="640" w:firstLineChars="200"/>
        <w:rPr>
          <w:rFonts w:eastAsia="仿宋_GB2312"/>
          <w:kern w:val="0"/>
          <w:sz w:val="32"/>
          <w:szCs w:val="32"/>
        </w:rPr>
      </w:pPr>
      <w:r>
        <w:rPr>
          <w:rFonts w:ascii="黑体" w:hAnsi="黑体" w:eastAsia="黑体"/>
          <w:kern w:val="0"/>
          <w:sz w:val="32"/>
          <w:szCs w:val="32"/>
        </w:rPr>
        <w:t>第十</w:t>
      </w:r>
      <w:r>
        <w:rPr>
          <w:rFonts w:hint="eastAsia" w:ascii="黑体" w:hAnsi="黑体" w:eastAsia="黑体"/>
          <w:kern w:val="0"/>
          <w:sz w:val="32"/>
          <w:szCs w:val="32"/>
        </w:rPr>
        <w:t>六</w:t>
      </w:r>
      <w:r>
        <w:rPr>
          <w:rFonts w:ascii="黑体" w:hAnsi="黑体" w:eastAsia="黑体"/>
          <w:kern w:val="0"/>
          <w:sz w:val="32"/>
          <w:szCs w:val="32"/>
        </w:rPr>
        <w:t>条【相关名词解释定义】</w:t>
      </w:r>
      <w:r>
        <w:rPr>
          <w:rFonts w:eastAsia="仿宋_GB2312"/>
          <w:kern w:val="0"/>
          <w:sz w:val="32"/>
          <w:szCs w:val="32"/>
        </w:rPr>
        <w:t>本规则下列用语的含义：</w:t>
      </w:r>
    </w:p>
    <w:p>
      <w:pPr>
        <w:ind w:firstLine="640" w:firstLineChars="200"/>
        <w:rPr>
          <w:rFonts w:eastAsia="仿宋_GB2312"/>
          <w:kern w:val="0"/>
          <w:sz w:val="32"/>
          <w:szCs w:val="32"/>
        </w:rPr>
      </w:pPr>
      <w:r>
        <w:rPr>
          <w:rFonts w:eastAsia="仿宋_GB2312"/>
          <w:kern w:val="0"/>
          <w:sz w:val="32"/>
          <w:szCs w:val="32"/>
        </w:rPr>
        <w:t>一维</w:t>
      </w:r>
      <w:r>
        <w:rPr>
          <w:rFonts w:eastAsia="仿宋_GB2312"/>
          <w:color w:val="000000"/>
          <w:kern w:val="0"/>
          <w:sz w:val="32"/>
          <w:szCs w:val="32"/>
        </w:rPr>
        <w:t>码</w:t>
      </w:r>
      <w:r>
        <w:rPr>
          <w:rFonts w:eastAsia="仿宋_GB2312"/>
          <w:kern w:val="0"/>
          <w:sz w:val="32"/>
          <w:szCs w:val="32"/>
        </w:rPr>
        <w:t>是指在一维方向上表示信息的条码符号。</w:t>
      </w:r>
    </w:p>
    <w:p>
      <w:pPr>
        <w:ind w:firstLine="640" w:firstLineChars="200"/>
        <w:rPr>
          <w:rFonts w:eastAsia="仿宋_GB2312"/>
          <w:kern w:val="0"/>
          <w:sz w:val="32"/>
          <w:szCs w:val="32"/>
        </w:rPr>
      </w:pPr>
      <w:r>
        <w:rPr>
          <w:rFonts w:eastAsia="仿宋_GB2312"/>
          <w:kern w:val="0"/>
          <w:sz w:val="32"/>
          <w:szCs w:val="32"/>
        </w:rPr>
        <w:t>二维码是指在二维方向上都表示信息的条码符号。</w:t>
      </w:r>
    </w:p>
    <w:p>
      <w:pPr>
        <w:ind w:firstLine="640" w:firstLineChars="200"/>
        <w:rPr>
          <w:rFonts w:eastAsia="仿宋_GB2312"/>
          <w:kern w:val="0"/>
          <w:sz w:val="32"/>
          <w:szCs w:val="32"/>
        </w:rPr>
      </w:pPr>
      <w:r>
        <w:rPr>
          <w:rFonts w:eastAsia="仿宋_GB2312"/>
          <w:kern w:val="0"/>
          <w:sz w:val="32"/>
          <w:szCs w:val="32"/>
        </w:rPr>
        <w:t>射频标签是指用于物体或</w:t>
      </w:r>
      <w:r>
        <w:rPr>
          <w:rFonts w:hint="eastAsia" w:eastAsia="仿宋_GB2312"/>
          <w:kern w:val="0"/>
          <w:sz w:val="32"/>
          <w:szCs w:val="32"/>
        </w:rPr>
        <w:t>者</w:t>
      </w:r>
      <w:r>
        <w:rPr>
          <w:rFonts w:eastAsia="仿宋_GB2312"/>
          <w:kern w:val="0"/>
          <w:sz w:val="32"/>
          <w:szCs w:val="32"/>
        </w:rPr>
        <w:t>物品标识，具有信息存储功能，能接收读写器的电磁调制信号，并返回相应信号的数据载体。</w:t>
      </w:r>
    </w:p>
    <w:p>
      <w:pPr>
        <w:ind w:firstLine="640" w:firstLineChars="200"/>
        <w:rPr>
          <w:rFonts w:eastAsia="仿宋_GB2312"/>
          <w:kern w:val="0"/>
          <w:sz w:val="32"/>
          <w:szCs w:val="32"/>
        </w:rPr>
      </w:pPr>
      <w:r>
        <w:rPr>
          <w:rFonts w:eastAsia="仿宋_GB2312"/>
          <w:kern w:val="0"/>
          <w:sz w:val="32"/>
          <w:szCs w:val="32"/>
        </w:rPr>
        <w:t>自动识别和数据采集，是指不通过键盘直接将数据输入计算机系统或者其他微处理器控制的设备的技术。</w:t>
      </w:r>
    </w:p>
    <w:p>
      <w:pPr>
        <w:ind w:firstLine="640" w:firstLineChars="200"/>
        <w:rPr>
          <w:rFonts w:eastAsia="仿宋_GB2312"/>
          <w:kern w:val="0"/>
          <w:sz w:val="32"/>
          <w:szCs w:val="32"/>
        </w:rPr>
      </w:pPr>
      <w:r>
        <w:rPr>
          <w:rFonts w:eastAsia="仿宋_GB2312"/>
          <w:kern w:val="0"/>
          <w:sz w:val="32"/>
          <w:szCs w:val="32"/>
        </w:rPr>
        <w:t>人工识读，是指与机器识读媒介相</w:t>
      </w:r>
      <w:r>
        <w:rPr>
          <w:rFonts w:hint="eastAsia" w:eastAsia="仿宋_GB2312"/>
          <w:kern w:val="0"/>
          <w:sz w:val="32"/>
          <w:szCs w:val="32"/>
        </w:rPr>
        <w:t>对应的，可由人眼直接识别的编码</w:t>
      </w:r>
      <w:r>
        <w:rPr>
          <w:rFonts w:eastAsia="仿宋_GB2312"/>
          <w:kern w:val="0"/>
          <w:sz w:val="32"/>
          <w:szCs w:val="32"/>
        </w:rPr>
        <w:t>信息</w:t>
      </w:r>
      <w:r>
        <w:rPr>
          <w:rFonts w:hint="eastAsia" w:eastAsia="仿宋_GB2312"/>
          <w:kern w:val="0"/>
          <w:sz w:val="32"/>
          <w:szCs w:val="32"/>
        </w:rPr>
        <w:t>释义</w:t>
      </w:r>
      <w:r>
        <w:rPr>
          <w:rFonts w:eastAsia="仿宋_GB2312"/>
          <w:kern w:val="0"/>
          <w:sz w:val="32"/>
          <w:szCs w:val="32"/>
        </w:rPr>
        <w:t>。</w:t>
      </w:r>
    </w:p>
    <w:p>
      <w:pPr>
        <w:ind w:firstLine="640" w:firstLineChars="200"/>
        <w:rPr>
          <w:rFonts w:eastAsia="仿宋_GB2312"/>
          <w:sz w:val="28"/>
          <w:szCs w:val="28"/>
        </w:rPr>
      </w:pPr>
      <w:r>
        <w:rPr>
          <w:rFonts w:ascii="黑体" w:hAnsi="黑体" w:eastAsia="黑体"/>
          <w:kern w:val="0"/>
          <w:sz w:val="32"/>
          <w:szCs w:val="32"/>
        </w:rPr>
        <w:t>第十</w:t>
      </w:r>
      <w:r>
        <w:rPr>
          <w:rFonts w:hint="eastAsia" w:ascii="黑体" w:hAnsi="黑体" w:eastAsia="黑体"/>
          <w:kern w:val="0"/>
          <w:sz w:val="32"/>
          <w:szCs w:val="32"/>
        </w:rPr>
        <w:t>七</w:t>
      </w:r>
      <w:r>
        <w:rPr>
          <w:rFonts w:ascii="黑体" w:hAnsi="黑体" w:eastAsia="黑体"/>
          <w:kern w:val="0"/>
          <w:sz w:val="32"/>
          <w:szCs w:val="32"/>
        </w:rPr>
        <w:t>条【实施日期】</w:t>
      </w:r>
      <w:r>
        <w:rPr>
          <w:rFonts w:eastAsia="仿宋_GB2312"/>
          <w:kern w:val="0"/>
          <w:sz w:val="32"/>
          <w:szCs w:val="32"/>
        </w:rPr>
        <w:t>本规则自2018年XX月XX日起施行。</w:t>
      </w:r>
    </w:p>
    <w:sectPr>
      <w:footerReference r:id="rId3" w:type="default"/>
      <w:footerReference r:id="rId4" w:type="even"/>
      <w:pgSz w:w="11906" w:h="16838"/>
      <w:pgMar w:top="1928" w:right="1531" w:bottom="1814" w:left="1531" w:header="851" w:footer="1247"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w:t>
    </w:r>
    <w:r>
      <w:rPr>
        <w:rFonts w:hint="eastAsia"/>
        <w:color w:val="FFFFFF"/>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64"/>
    <w:rsid w:val="00002DC8"/>
    <w:rsid w:val="000056D8"/>
    <w:rsid w:val="000219D8"/>
    <w:rsid w:val="00044B82"/>
    <w:rsid w:val="000464D5"/>
    <w:rsid w:val="000467E5"/>
    <w:rsid w:val="00067936"/>
    <w:rsid w:val="00071235"/>
    <w:rsid w:val="000C0CAF"/>
    <w:rsid w:val="000C771B"/>
    <w:rsid w:val="000D5311"/>
    <w:rsid w:val="000E609C"/>
    <w:rsid w:val="000E6F3A"/>
    <w:rsid w:val="000F0B1D"/>
    <w:rsid w:val="00101F08"/>
    <w:rsid w:val="00105D81"/>
    <w:rsid w:val="001248BF"/>
    <w:rsid w:val="0016386B"/>
    <w:rsid w:val="001648A9"/>
    <w:rsid w:val="001B19F9"/>
    <w:rsid w:val="001C00EB"/>
    <w:rsid w:val="001C37AA"/>
    <w:rsid w:val="001C5CE8"/>
    <w:rsid w:val="001C6AC5"/>
    <w:rsid w:val="001D42F6"/>
    <w:rsid w:val="001D7C61"/>
    <w:rsid w:val="00220D46"/>
    <w:rsid w:val="002218FE"/>
    <w:rsid w:val="00237DA1"/>
    <w:rsid w:val="00256C28"/>
    <w:rsid w:val="00256D34"/>
    <w:rsid w:val="002825C0"/>
    <w:rsid w:val="0028370F"/>
    <w:rsid w:val="002860DE"/>
    <w:rsid w:val="002B4BF7"/>
    <w:rsid w:val="002B5486"/>
    <w:rsid w:val="002C5B99"/>
    <w:rsid w:val="00312167"/>
    <w:rsid w:val="00323047"/>
    <w:rsid w:val="00323F8C"/>
    <w:rsid w:val="00327843"/>
    <w:rsid w:val="00334CEF"/>
    <w:rsid w:val="00353023"/>
    <w:rsid w:val="00355A40"/>
    <w:rsid w:val="00355FCF"/>
    <w:rsid w:val="00395693"/>
    <w:rsid w:val="003A097C"/>
    <w:rsid w:val="003A57D5"/>
    <w:rsid w:val="003A581F"/>
    <w:rsid w:val="003A5B56"/>
    <w:rsid w:val="003B0249"/>
    <w:rsid w:val="003B0DFF"/>
    <w:rsid w:val="003B79F1"/>
    <w:rsid w:val="003C1910"/>
    <w:rsid w:val="003C70F2"/>
    <w:rsid w:val="004024AF"/>
    <w:rsid w:val="0040353D"/>
    <w:rsid w:val="00424A97"/>
    <w:rsid w:val="00434DA7"/>
    <w:rsid w:val="00437338"/>
    <w:rsid w:val="004424E3"/>
    <w:rsid w:val="0045649F"/>
    <w:rsid w:val="00460A33"/>
    <w:rsid w:val="00467594"/>
    <w:rsid w:val="004729CA"/>
    <w:rsid w:val="00472A8D"/>
    <w:rsid w:val="00492FC5"/>
    <w:rsid w:val="00493BFC"/>
    <w:rsid w:val="004A0638"/>
    <w:rsid w:val="004A312F"/>
    <w:rsid w:val="004A519B"/>
    <w:rsid w:val="004B6369"/>
    <w:rsid w:val="004C7459"/>
    <w:rsid w:val="004F09B3"/>
    <w:rsid w:val="004F7A16"/>
    <w:rsid w:val="004F7E7E"/>
    <w:rsid w:val="004F7F49"/>
    <w:rsid w:val="00502A77"/>
    <w:rsid w:val="00525A1F"/>
    <w:rsid w:val="00532C69"/>
    <w:rsid w:val="00546711"/>
    <w:rsid w:val="00553EFB"/>
    <w:rsid w:val="0055742D"/>
    <w:rsid w:val="00572302"/>
    <w:rsid w:val="00574C81"/>
    <w:rsid w:val="005928EF"/>
    <w:rsid w:val="005A1683"/>
    <w:rsid w:val="005A3675"/>
    <w:rsid w:val="005A739F"/>
    <w:rsid w:val="005B63E5"/>
    <w:rsid w:val="005C5C91"/>
    <w:rsid w:val="005F1BDE"/>
    <w:rsid w:val="00600885"/>
    <w:rsid w:val="00601654"/>
    <w:rsid w:val="006220C2"/>
    <w:rsid w:val="0062284A"/>
    <w:rsid w:val="00625DE0"/>
    <w:rsid w:val="00627AAD"/>
    <w:rsid w:val="00635B83"/>
    <w:rsid w:val="0067684F"/>
    <w:rsid w:val="00683CD7"/>
    <w:rsid w:val="00684C6C"/>
    <w:rsid w:val="006878FD"/>
    <w:rsid w:val="00694A84"/>
    <w:rsid w:val="00695092"/>
    <w:rsid w:val="006A286B"/>
    <w:rsid w:val="006B6833"/>
    <w:rsid w:val="006C6397"/>
    <w:rsid w:val="006C6782"/>
    <w:rsid w:val="006E0ADC"/>
    <w:rsid w:val="006E4D7C"/>
    <w:rsid w:val="006F28D3"/>
    <w:rsid w:val="0070068B"/>
    <w:rsid w:val="00723D90"/>
    <w:rsid w:val="007247D0"/>
    <w:rsid w:val="00730007"/>
    <w:rsid w:val="007307CB"/>
    <w:rsid w:val="00733164"/>
    <w:rsid w:val="00736EEB"/>
    <w:rsid w:val="00752A62"/>
    <w:rsid w:val="00752D3F"/>
    <w:rsid w:val="00761A9A"/>
    <w:rsid w:val="007706B5"/>
    <w:rsid w:val="00770FB0"/>
    <w:rsid w:val="0077271B"/>
    <w:rsid w:val="00774344"/>
    <w:rsid w:val="007821C9"/>
    <w:rsid w:val="00786BE9"/>
    <w:rsid w:val="0078769F"/>
    <w:rsid w:val="007E11B7"/>
    <w:rsid w:val="007E3A0E"/>
    <w:rsid w:val="007F10EC"/>
    <w:rsid w:val="007F1AFA"/>
    <w:rsid w:val="007F6847"/>
    <w:rsid w:val="008014A1"/>
    <w:rsid w:val="00811264"/>
    <w:rsid w:val="008164EA"/>
    <w:rsid w:val="0082116A"/>
    <w:rsid w:val="0082173D"/>
    <w:rsid w:val="00822E3D"/>
    <w:rsid w:val="00825EED"/>
    <w:rsid w:val="00827535"/>
    <w:rsid w:val="00827625"/>
    <w:rsid w:val="00837925"/>
    <w:rsid w:val="00842CF9"/>
    <w:rsid w:val="00860C30"/>
    <w:rsid w:val="00865579"/>
    <w:rsid w:val="00870542"/>
    <w:rsid w:val="00875C38"/>
    <w:rsid w:val="008A2D59"/>
    <w:rsid w:val="008A3B14"/>
    <w:rsid w:val="008B0F49"/>
    <w:rsid w:val="008B2B90"/>
    <w:rsid w:val="008C44E1"/>
    <w:rsid w:val="008E4A28"/>
    <w:rsid w:val="0090430E"/>
    <w:rsid w:val="00910BF2"/>
    <w:rsid w:val="00913A19"/>
    <w:rsid w:val="00914FAE"/>
    <w:rsid w:val="009329C5"/>
    <w:rsid w:val="00944110"/>
    <w:rsid w:val="00945986"/>
    <w:rsid w:val="00971784"/>
    <w:rsid w:val="0098547F"/>
    <w:rsid w:val="00995212"/>
    <w:rsid w:val="009A2612"/>
    <w:rsid w:val="009A2775"/>
    <w:rsid w:val="009A4EC0"/>
    <w:rsid w:val="009A7662"/>
    <w:rsid w:val="009C17A5"/>
    <w:rsid w:val="009E2B7F"/>
    <w:rsid w:val="009E56AF"/>
    <w:rsid w:val="009E61E2"/>
    <w:rsid w:val="00A0515F"/>
    <w:rsid w:val="00A14A17"/>
    <w:rsid w:val="00A20008"/>
    <w:rsid w:val="00A21446"/>
    <w:rsid w:val="00A22DFF"/>
    <w:rsid w:val="00A336C3"/>
    <w:rsid w:val="00A33FB4"/>
    <w:rsid w:val="00A731DC"/>
    <w:rsid w:val="00A95B2D"/>
    <w:rsid w:val="00A96B30"/>
    <w:rsid w:val="00A96C16"/>
    <w:rsid w:val="00A97DDB"/>
    <w:rsid w:val="00AC30D3"/>
    <w:rsid w:val="00AD12A5"/>
    <w:rsid w:val="00AD38A7"/>
    <w:rsid w:val="00AE1870"/>
    <w:rsid w:val="00AE388D"/>
    <w:rsid w:val="00AE63B5"/>
    <w:rsid w:val="00AF5992"/>
    <w:rsid w:val="00B22D87"/>
    <w:rsid w:val="00B237AF"/>
    <w:rsid w:val="00B41B43"/>
    <w:rsid w:val="00B61CFF"/>
    <w:rsid w:val="00B61FC6"/>
    <w:rsid w:val="00B721B7"/>
    <w:rsid w:val="00B8464F"/>
    <w:rsid w:val="00B9374B"/>
    <w:rsid w:val="00BB11EF"/>
    <w:rsid w:val="00BC1D01"/>
    <w:rsid w:val="00BC7D2F"/>
    <w:rsid w:val="00BF50EE"/>
    <w:rsid w:val="00BF7315"/>
    <w:rsid w:val="00BF7E20"/>
    <w:rsid w:val="00C01B72"/>
    <w:rsid w:val="00C02D22"/>
    <w:rsid w:val="00C20592"/>
    <w:rsid w:val="00C26C44"/>
    <w:rsid w:val="00C33332"/>
    <w:rsid w:val="00C64F2A"/>
    <w:rsid w:val="00C66918"/>
    <w:rsid w:val="00C74934"/>
    <w:rsid w:val="00C74D96"/>
    <w:rsid w:val="00C75730"/>
    <w:rsid w:val="00C8005E"/>
    <w:rsid w:val="00C809D0"/>
    <w:rsid w:val="00C942F2"/>
    <w:rsid w:val="00C94AE2"/>
    <w:rsid w:val="00CA42AB"/>
    <w:rsid w:val="00CA5035"/>
    <w:rsid w:val="00CA79E9"/>
    <w:rsid w:val="00CB2CE9"/>
    <w:rsid w:val="00CB30FD"/>
    <w:rsid w:val="00CC3E97"/>
    <w:rsid w:val="00CC6221"/>
    <w:rsid w:val="00CC701C"/>
    <w:rsid w:val="00CD3F1F"/>
    <w:rsid w:val="00CD59A8"/>
    <w:rsid w:val="00CE0F24"/>
    <w:rsid w:val="00CE7BC0"/>
    <w:rsid w:val="00CF37AB"/>
    <w:rsid w:val="00CF5F9C"/>
    <w:rsid w:val="00D04C0D"/>
    <w:rsid w:val="00D04E5A"/>
    <w:rsid w:val="00D11C8A"/>
    <w:rsid w:val="00D2672C"/>
    <w:rsid w:val="00D26E4A"/>
    <w:rsid w:val="00D31EDE"/>
    <w:rsid w:val="00D44113"/>
    <w:rsid w:val="00D4505E"/>
    <w:rsid w:val="00D55A04"/>
    <w:rsid w:val="00D77D9B"/>
    <w:rsid w:val="00D83E72"/>
    <w:rsid w:val="00DA4BFF"/>
    <w:rsid w:val="00DB164C"/>
    <w:rsid w:val="00DB5102"/>
    <w:rsid w:val="00DC67DE"/>
    <w:rsid w:val="00DD6562"/>
    <w:rsid w:val="00DE3904"/>
    <w:rsid w:val="00E05A99"/>
    <w:rsid w:val="00E140CB"/>
    <w:rsid w:val="00E14A08"/>
    <w:rsid w:val="00E419DA"/>
    <w:rsid w:val="00E646DF"/>
    <w:rsid w:val="00E83CE3"/>
    <w:rsid w:val="00E85A97"/>
    <w:rsid w:val="00E90C04"/>
    <w:rsid w:val="00E91D5D"/>
    <w:rsid w:val="00EA093E"/>
    <w:rsid w:val="00EB1D4F"/>
    <w:rsid w:val="00EC5C9C"/>
    <w:rsid w:val="00ED25F2"/>
    <w:rsid w:val="00EF2A47"/>
    <w:rsid w:val="00EF41D0"/>
    <w:rsid w:val="00F032C7"/>
    <w:rsid w:val="00F03BC7"/>
    <w:rsid w:val="00F1332B"/>
    <w:rsid w:val="00F15FB2"/>
    <w:rsid w:val="00F17EFB"/>
    <w:rsid w:val="00F77F17"/>
    <w:rsid w:val="00F8602C"/>
    <w:rsid w:val="00F8607F"/>
    <w:rsid w:val="00F97CD1"/>
    <w:rsid w:val="00FA01A8"/>
    <w:rsid w:val="00FB2E3A"/>
    <w:rsid w:val="00FB480A"/>
    <w:rsid w:val="00FB67B3"/>
    <w:rsid w:val="00FC5567"/>
    <w:rsid w:val="00FD1C13"/>
    <w:rsid w:val="00FD52A4"/>
    <w:rsid w:val="00FD728A"/>
    <w:rsid w:val="00FF683E"/>
    <w:rsid w:val="7485242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uiPriority w:val="0"/>
    <w:pPr>
      <w:jc w:val="left"/>
    </w:pPr>
  </w:style>
  <w:style w:type="paragraph" w:styleId="4">
    <w:name w:val="Document Map"/>
    <w:basedOn w:val="1"/>
    <w:semiHidden/>
    <w:uiPriority w:val="0"/>
    <w:pPr>
      <w:shd w:val="clear" w:color="auto" w:fill="000080"/>
    </w:pPr>
  </w:style>
  <w:style w:type="paragraph" w:styleId="5">
    <w:name w:val="Balloon Text"/>
    <w:basedOn w:val="1"/>
    <w:link w:val="14"/>
    <w:uiPriority w:val="0"/>
    <w:rPr>
      <w:sz w:val="18"/>
      <w:szCs w:val="18"/>
      <w:lang w:val="zh-CN" w:eastAsia="zh-CN"/>
    </w:rPr>
  </w:style>
  <w:style w:type="paragraph" w:styleId="6">
    <w:name w:val="footer"/>
    <w:basedOn w:val="1"/>
    <w:link w:val="16"/>
    <w:uiPriority w:val="99"/>
    <w:pPr>
      <w:tabs>
        <w:tab w:val="center" w:pos="4153"/>
        <w:tab w:val="right" w:pos="8306"/>
      </w:tabs>
      <w:snapToGrid w:val="0"/>
      <w:jc w:val="left"/>
    </w:pPr>
    <w:rPr>
      <w:sz w:val="18"/>
      <w:szCs w:val="18"/>
      <w:lang w:val="zh-CN" w:eastAsia="zh-CN"/>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0"/>
    <w:pPr>
      <w:spacing w:before="240" w:after="60"/>
      <w:jc w:val="center"/>
      <w:outlineLvl w:val="0"/>
    </w:pPr>
    <w:rPr>
      <w:rFonts w:ascii="Cambria" w:hAnsi="Cambria"/>
      <w:b/>
      <w:bCs/>
      <w:sz w:val="32"/>
      <w:szCs w:val="32"/>
      <w:lang w:val="zh-CN" w:eastAsia="zh-CN"/>
    </w:rPr>
  </w:style>
  <w:style w:type="character" w:styleId="10">
    <w:name w:val="page number"/>
    <w:basedOn w:val="9"/>
    <w:uiPriority w:val="0"/>
  </w:style>
  <w:style w:type="character" w:styleId="11">
    <w:name w:val="Hyperlink"/>
    <w:uiPriority w:val="0"/>
    <w:rPr>
      <w:color w:val="0000FF"/>
      <w:u w:val="single"/>
    </w:rPr>
  </w:style>
  <w:style w:type="character" w:styleId="12">
    <w:name w:val="annotation reference"/>
    <w:uiPriority w:val="0"/>
    <w:rPr>
      <w:sz w:val="21"/>
      <w:szCs w:val="21"/>
    </w:rPr>
  </w:style>
  <w:style w:type="character" w:customStyle="1" w:styleId="14">
    <w:name w:val="批注框文本 Char"/>
    <w:link w:val="5"/>
    <w:uiPriority w:val="0"/>
    <w:rPr>
      <w:kern w:val="2"/>
      <w:sz w:val="18"/>
      <w:szCs w:val="18"/>
    </w:rPr>
  </w:style>
  <w:style w:type="character" w:customStyle="1" w:styleId="15">
    <w:name w:val="标题 Char"/>
    <w:link w:val="8"/>
    <w:uiPriority w:val="0"/>
    <w:rPr>
      <w:rFonts w:ascii="Cambria" w:hAnsi="Cambria" w:cs="Times New Roman"/>
      <w:b/>
      <w:bCs/>
      <w:kern w:val="2"/>
      <w:sz w:val="32"/>
      <w:szCs w:val="32"/>
    </w:rPr>
  </w:style>
  <w:style w:type="character" w:customStyle="1" w:styleId="16">
    <w:name w:val="页脚 Char"/>
    <w:link w:val="6"/>
    <w:uiPriority w:val="99"/>
    <w:rPr>
      <w:kern w:val="2"/>
      <w:sz w:val="18"/>
      <w:szCs w:val="18"/>
    </w:rPr>
  </w:style>
  <w:style w:type="character" w:customStyle="1" w:styleId="17">
    <w:name w:val="Subtle Emphasis"/>
    <w:qFormat/>
    <w:uiPriority w:val="19"/>
    <w:rPr>
      <w:i/>
      <w:iCs/>
      <w:color w:val="404040"/>
    </w:rPr>
  </w:style>
  <w:style w:type="character" w:customStyle="1" w:styleId="18">
    <w:name w:val="批注文字 Char"/>
    <w:link w:val="3"/>
    <w:uiPriority w:val="0"/>
    <w:rPr>
      <w:kern w:val="2"/>
      <w:sz w:val="21"/>
      <w:szCs w:val="24"/>
    </w:rPr>
  </w:style>
  <w:style w:type="character" w:customStyle="1" w:styleId="19">
    <w:name w:val="批注主题 Char"/>
    <w:link w:val="2"/>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7BF8E-A18D-49CB-AE19-00B6FBA81216}">
  <ds:schemaRefs/>
</ds:datastoreItem>
</file>

<file path=docProps/app.xml><?xml version="1.0" encoding="utf-8"?>
<Properties xmlns="http://schemas.openxmlformats.org/officeDocument/2006/extended-properties" xmlns:vt="http://schemas.openxmlformats.org/officeDocument/2006/docPropsVTypes">
  <Template>9C7D6F87.dotm</Template>
  <Company>Xtzj.Com</Company>
  <Pages>5</Pages>
  <Words>2078</Words>
  <Characters>57</Characters>
  <Lines>1</Lines>
  <Paragraphs>4</Paragraphs>
  <TotalTime>0</TotalTime>
  <ScaleCrop>false</ScaleCrop>
  <LinksUpToDate>false</LinksUpToDate>
  <CharactersWithSpaces>2131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2018-07-24T09:52:00Z</dcterms:created>
  <dc:creator>Xtzj.User</dc:creator>
  <cp:lastModifiedBy>jo</cp:lastModifiedBy>
  <cp:lastPrinted>2018-07-23T10:17:00Z</cp:lastPrinted>
  <dcterms:modified xsi:type="dcterms:W3CDTF">2018-08-17T03:35:51Z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