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81" w:rsidRPr="00781493" w:rsidRDefault="006E7481" w:rsidP="006E7481">
      <w:pPr>
        <w:rPr>
          <w:rFonts w:ascii="黑体" w:eastAsia="黑体" w:hAnsi="黑体"/>
          <w:sz w:val="32"/>
          <w:szCs w:val="32"/>
        </w:rPr>
      </w:pPr>
    </w:p>
    <w:p w:rsidR="006E7481" w:rsidRPr="00781493" w:rsidRDefault="00E0672E" w:rsidP="006E7481">
      <w:pPr>
        <w:spacing w:line="600" w:lineRule="exact"/>
        <w:ind w:left="1100" w:hangingChars="250" w:hanging="1100"/>
        <w:jc w:val="center"/>
        <w:rPr>
          <w:rFonts w:ascii="方正小标宋简体" w:eastAsia="方正小标宋简体" w:hAnsi="Calibri"/>
          <w:sz w:val="44"/>
          <w:szCs w:val="44"/>
        </w:rPr>
      </w:pPr>
      <w:r>
        <w:rPr>
          <w:rFonts w:ascii="方正小标宋简体" w:eastAsia="方正小标宋简体" w:hAnsi="Calibri" w:hint="eastAsia"/>
          <w:sz w:val="44"/>
          <w:szCs w:val="44"/>
        </w:rPr>
        <w:t>国家市场监督管理总局</w:t>
      </w:r>
      <w:r w:rsidR="006E7481" w:rsidRPr="00781493">
        <w:rPr>
          <w:rFonts w:ascii="方正小标宋简体" w:eastAsia="方正小标宋简体" w:hAnsi="Calibri" w:hint="eastAsia"/>
          <w:sz w:val="44"/>
          <w:szCs w:val="44"/>
        </w:rPr>
        <w:t>关于调整医疗机构</w:t>
      </w:r>
    </w:p>
    <w:p w:rsidR="006E7481" w:rsidRPr="00781493" w:rsidRDefault="006E7481" w:rsidP="006E7481">
      <w:pPr>
        <w:spacing w:line="600" w:lineRule="exact"/>
        <w:ind w:leftChars="100" w:left="870" w:hangingChars="150" w:hanging="660"/>
        <w:jc w:val="center"/>
        <w:rPr>
          <w:rFonts w:ascii="方正仿宋简体" w:eastAsia="方正仿宋简体" w:hAnsi="宋体"/>
          <w:sz w:val="32"/>
          <w:szCs w:val="32"/>
        </w:rPr>
      </w:pPr>
      <w:r w:rsidRPr="00781493">
        <w:rPr>
          <w:rFonts w:ascii="方正小标宋简体" w:eastAsia="方正小标宋简体" w:hAnsi="Calibri" w:hint="eastAsia"/>
          <w:sz w:val="44"/>
          <w:szCs w:val="44"/>
        </w:rPr>
        <w:t>制剂</w:t>
      </w:r>
      <w:r w:rsidRPr="00781493" w:rsidDel="00257B5C">
        <w:rPr>
          <w:rFonts w:ascii="方正小标宋简体" w:eastAsia="方正小标宋简体" w:hAnsi="Calibri" w:hint="eastAsia"/>
          <w:sz w:val="44"/>
          <w:szCs w:val="44"/>
        </w:rPr>
        <w:t>管理</w:t>
      </w:r>
      <w:r w:rsidRPr="00781493">
        <w:rPr>
          <w:rFonts w:ascii="方正小标宋简体" w:eastAsia="方正小标宋简体" w:hAnsi="Calibri" w:hint="eastAsia"/>
          <w:sz w:val="44"/>
          <w:szCs w:val="44"/>
        </w:rPr>
        <w:t>审批事项的决定</w:t>
      </w:r>
    </w:p>
    <w:p w:rsidR="006E7481" w:rsidRPr="00781493" w:rsidRDefault="006E7481" w:rsidP="006E7481">
      <w:pPr>
        <w:spacing w:line="600" w:lineRule="exact"/>
        <w:jc w:val="center"/>
        <w:rPr>
          <w:rFonts w:ascii="楷体_GB2312" w:eastAsia="楷体_GB2312" w:hAnsi="Calibri"/>
          <w:sz w:val="32"/>
          <w:szCs w:val="32"/>
        </w:rPr>
      </w:pPr>
      <w:r w:rsidRPr="00781493">
        <w:rPr>
          <w:rFonts w:ascii="楷体_GB2312" w:eastAsia="楷体_GB2312" w:hAnsi="宋体" w:hint="eastAsia"/>
          <w:sz w:val="32"/>
          <w:szCs w:val="32"/>
        </w:rPr>
        <w:t>（</w:t>
      </w:r>
      <w:r>
        <w:rPr>
          <w:rFonts w:ascii="楷体_GB2312" w:eastAsia="楷体_GB2312" w:hAnsi="宋体" w:hint="eastAsia"/>
          <w:sz w:val="32"/>
          <w:szCs w:val="32"/>
        </w:rPr>
        <w:t>征求意见</w:t>
      </w:r>
      <w:r w:rsidRPr="00781493">
        <w:rPr>
          <w:rFonts w:ascii="楷体_GB2312" w:eastAsia="楷体_GB2312" w:hAnsi="宋体" w:hint="eastAsia"/>
          <w:sz w:val="32"/>
          <w:szCs w:val="32"/>
        </w:rPr>
        <w:t>稿）</w:t>
      </w:r>
    </w:p>
    <w:p w:rsidR="006E7481" w:rsidRPr="00781493" w:rsidRDefault="006E7481" w:rsidP="006E7481">
      <w:pPr>
        <w:spacing w:line="600" w:lineRule="exact"/>
        <w:rPr>
          <w:rFonts w:ascii="仿宋" w:eastAsia="仿宋" w:hAnsi="仿宋"/>
          <w:color w:val="000000"/>
          <w:sz w:val="32"/>
          <w:szCs w:val="32"/>
        </w:rPr>
      </w:pPr>
    </w:p>
    <w:p w:rsidR="006E7481" w:rsidRPr="00781493" w:rsidRDefault="006E7481" w:rsidP="006E7481">
      <w:pPr>
        <w:spacing w:line="580" w:lineRule="exact"/>
        <w:ind w:firstLineChars="200" w:firstLine="640"/>
        <w:rPr>
          <w:rFonts w:eastAsia="仿宋_GB2312"/>
          <w:color w:val="000000"/>
          <w:sz w:val="32"/>
          <w:szCs w:val="32"/>
        </w:rPr>
      </w:pPr>
      <w:r w:rsidRPr="00781493">
        <w:rPr>
          <w:rFonts w:eastAsia="仿宋_GB2312"/>
          <w:color w:val="000000"/>
          <w:sz w:val="32"/>
          <w:szCs w:val="32"/>
        </w:rPr>
        <w:t>为加强医疗机构制剂跨省、</w:t>
      </w:r>
      <w:r w:rsidRPr="00781493">
        <w:rPr>
          <w:rFonts w:eastAsia="仿宋_GB2312"/>
          <w:color w:val="000000"/>
          <w:kern w:val="0"/>
          <w:sz w:val="32"/>
          <w:szCs w:val="32"/>
        </w:rPr>
        <w:t>自治区、直辖市</w:t>
      </w:r>
      <w:r w:rsidRPr="00781493">
        <w:rPr>
          <w:rFonts w:eastAsia="仿宋_GB2312"/>
          <w:color w:val="000000"/>
          <w:sz w:val="32"/>
          <w:szCs w:val="32"/>
        </w:rPr>
        <w:t>调剂使用（以下简称跨省调剂）的管理，贯彻落实</w:t>
      </w:r>
      <w:r w:rsidRPr="00781493">
        <w:rPr>
          <w:rFonts w:eastAsia="仿宋_GB2312"/>
          <w:color w:val="000000"/>
          <w:sz w:val="32"/>
          <w:szCs w:val="32"/>
        </w:rPr>
        <w:t>“</w:t>
      </w:r>
      <w:r w:rsidRPr="00781493">
        <w:rPr>
          <w:rFonts w:eastAsia="仿宋_GB2312"/>
          <w:color w:val="000000"/>
          <w:sz w:val="32"/>
          <w:szCs w:val="32"/>
        </w:rPr>
        <w:t>放管服</w:t>
      </w:r>
      <w:r w:rsidRPr="00781493">
        <w:rPr>
          <w:rFonts w:eastAsia="仿宋_GB2312"/>
          <w:color w:val="000000"/>
          <w:sz w:val="32"/>
          <w:szCs w:val="32"/>
        </w:rPr>
        <w:t>”</w:t>
      </w:r>
      <w:r w:rsidRPr="00781493">
        <w:rPr>
          <w:rFonts w:eastAsia="仿宋_GB2312"/>
          <w:color w:val="000000"/>
          <w:sz w:val="32"/>
          <w:szCs w:val="32"/>
        </w:rPr>
        <w:t>的改革要求，</w:t>
      </w:r>
      <w:r w:rsidRPr="00781493">
        <w:rPr>
          <w:rFonts w:eastAsia="仿宋_GB2312"/>
          <w:sz w:val="32"/>
          <w:szCs w:val="32"/>
        </w:rPr>
        <w:t>将医疗机构制剂</w:t>
      </w:r>
      <w:r w:rsidRPr="00781493">
        <w:rPr>
          <w:rFonts w:eastAsia="仿宋_GB2312"/>
          <w:color w:val="000000"/>
          <w:sz w:val="32"/>
          <w:szCs w:val="32"/>
        </w:rPr>
        <w:t>跨省调剂委托至省级药品监督管理部门审批。</w:t>
      </w:r>
      <w:r w:rsidRPr="00781493">
        <w:rPr>
          <w:rFonts w:eastAsia="仿宋_GB2312"/>
          <w:sz w:val="32"/>
          <w:szCs w:val="32"/>
        </w:rPr>
        <w:t>医疗机构制剂跨省调剂申请审批程序和要求</w:t>
      </w:r>
      <w:r w:rsidRPr="00781493">
        <w:rPr>
          <w:rFonts w:eastAsia="仿宋_GB2312"/>
          <w:color w:val="000000"/>
          <w:sz w:val="32"/>
          <w:szCs w:val="32"/>
        </w:rPr>
        <w:t>如下：</w:t>
      </w:r>
    </w:p>
    <w:p w:rsidR="006E7481" w:rsidRPr="00781493" w:rsidRDefault="006E7481" w:rsidP="006E7481">
      <w:pPr>
        <w:widowControl/>
        <w:adjustRightInd w:val="0"/>
        <w:snapToGrid w:val="0"/>
        <w:spacing w:line="580" w:lineRule="exact"/>
        <w:ind w:firstLineChars="200" w:firstLine="640"/>
        <w:rPr>
          <w:rFonts w:eastAsia="仿宋_GB2312"/>
          <w:sz w:val="32"/>
          <w:szCs w:val="32"/>
        </w:rPr>
      </w:pPr>
      <w:r w:rsidRPr="00781493">
        <w:rPr>
          <w:rFonts w:eastAsia="仿宋_GB2312"/>
          <w:color w:val="000000"/>
          <w:kern w:val="0"/>
          <w:sz w:val="32"/>
          <w:szCs w:val="32"/>
        </w:rPr>
        <w:t>一</w:t>
      </w:r>
      <w:r w:rsidRPr="00781493">
        <w:rPr>
          <w:rFonts w:eastAsia="仿宋_GB2312"/>
          <w:sz w:val="32"/>
          <w:szCs w:val="32"/>
        </w:rPr>
        <w:t>、发生灾情、疫情、突发事件，或者临床急需而市场没有供应，或者国家另有规定，需要调剂使用医疗机构制剂时，属国家药品监督管理局规定的特殊制剂以及跨省调剂的，适用本决定。</w:t>
      </w:r>
    </w:p>
    <w:p w:rsidR="006E7481" w:rsidRPr="00781493" w:rsidRDefault="006E7481" w:rsidP="006E7481">
      <w:pPr>
        <w:widowControl/>
        <w:adjustRightInd w:val="0"/>
        <w:snapToGrid w:val="0"/>
        <w:spacing w:line="580" w:lineRule="exact"/>
        <w:ind w:firstLineChars="200" w:firstLine="640"/>
        <w:rPr>
          <w:rFonts w:eastAsia="仿宋_GB2312"/>
          <w:sz w:val="32"/>
          <w:szCs w:val="32"/>
        </w:rPr>
      </w:pPr>
      <w:r w:rsidRPr="00781493">
        <w:rPr>
          <w:rFonts w:eastAsia="仿宋_GB2312"/>
          <w:sz w:val="32"/>
          <w:szCs w:val="32"/>
        </w:rPr>
        <w:t>二、取得医疗机构制剂批准文号或</w:t>
      </w:r>
      <w:r>
        <w:rPr>
          <w:rFonts w:eastAsia="仿宋_GB2312" w:hint="eastAsia"/>
          <w:sz w:val="32"/>
          <w:szCs w:val="32"/>
        </w:rPr>
        <w:t>者</w:t>
      </w:r>
      <w:r w:rsidRPr="00781493">
        <w:rPr>
          <w:rFonts w:eastAsia="仿宋_GB2312"/>
          <w:sz w:val="32"/>
          <w:szCs w:val="32"/>
        </w:rPr>
        <w:t>备案号的医疗机构（以下简称调出方）向所在地省级药品监督管理部门提出医疗机构制剂的调出申请，说明使用理由、期限、数量和范围。调出方所在地省级药品监督管理部门收到申请后，应当在规定时限内出具审查意见</w:t>
      </w:r>
      <w:r w:rsidRPr="00781493">
        <w:rPr>
          <w:rFonts w:eastAsia="仿宋_GB2312" w:hint="eastAsia"/>
          <w:sz w:val="32"/>
          <w:szCs w:val="32"/>
        </w:rPr>
        <w:t>，必要时可召开专家论证会和开展现场检查</w:t>
      </w:r>
      <w:r w:rsidRPr="00781493">
        <w:rPr>
          <w:rFonts w:eastAsia="仿宋_GB2312"/>
          <w:sz w:val="32"/>
          <w:szCs w:val="32"/>
        </w:rPr>
        <w:t>。</w:t>
      </w:r>
    </w:p>
    <w:p w:rsidR="006E7481" w:rsidRPr="00781493" w:rsidRDefault="006E7481" w:rsidP="006E7481">
      <w:pPr>
        <w:widowControl/>
        <w:adjustRightInd w:val="0"/>
        <w:snapToGrid w:val="0"/>
        <w:spacing w:line="580" w:lineRule="exact"/>
        <w:ind w:firstLineChars="200" w:firstLine="640"/>
        <w:rPr>
          <w:rFonts w:eastAsia="仿宋_GB2312"/>
          <w:sz w:val="32"/>
          <w:szCs w:val="32"/>
        </w:rPr>
      </w:pPr>
      <w:r w:rsidRPr="00781493">
        <w:rPr>
          <w:rFonts w:eastAsia="仿宋_GB2312"/>
          <w:sz w:val="32"/>
          <w:szCs w:val="32"/>
        </w:rPr>
        <w:t>三、经调出方所在地省级药品监督管理部门审查同意的跨省调剂申请，由使用</w:t>
      </w:r>
      <w:r>
        <w:rPr>
          <w:rFonts w:eastAsia="仿宋_GB2312" w:hint="eastAsia"/>
          <w:sz w:val="32"/>
          <w:szCs w:val="32"/>
        </w:rPr>
        <w:t>的医疗机构</w:t>
      </w:r>
      <w:r w:rsidRPr="00781493">
        <w:rPr>
          <w:rFonts w:eastAsia="仿宋_GB2312"/>
          <w:sz w:val="32"/>
          <w:szCs w:val="32"/>
        </w:rPr>
        <w:t>（以下简称调入方）将审查意见和相关资料一并报送其所在地省级药品监督管理部门，提出调入申请。调</w:t>
      </w:r>
      <w:r w:rsidRPr="00781493">
        <w:rPr>
          <w:rFonts w:eastAsia="仿宋_GB2312" w:hint="eastAsia"/>
          <w:sz w:val="32"/>
          <w:szCs w:val="32"/>
        </w:rPr>
        <w:t>入</w:t>
      </w:r>
      <w:r w:rsidRPr="00781493">
        <w:rPr>
          <w:rFonts w:eastAsia="仿宋_GB2312"/>
          <w:sz w:val="32"/>
          <w:szCs w:val="32"/>
        </w:rPr>
        <w:t>方所在地省级药品监督管理部门收</w:t>
      </w:r>
      <w:r w:rsidRPr="00781493">
        <w:rPr>
          <w:rFonts w:eastAsia="仿宋_GB2312"/>
          <w:sz w:val="32"/>
          <w:szCs w:val="32"/>
        </w:rPr>
        <w:lastRenderedPageBreak/>
        <w:t>到申请后，应当在规定时限内</w:t>
      </w:r>
      <w:r w:rsidRPr="00781493">
        <w:rPr>
          <w:rFonts w:eastAsia="仿宋_GB2312" w:hint="eastAsia"/>
          <w:sz w:val="32"/>
          <w:szCs w:val="32"/>
        </w:rPr>
        <w:t>以国务院</w:t>
      </w:r>
      <w:r w:rsidRPr="00781493">
        <w:rPr>
          <w:rFonts w:eastAsia="仿宋_GB2312"/>
          <w:sz w:val="32"/>
          <w:szCs w:val="32"/>
        </w:rPr>
        <w:t>药品监督管理</w:t>
      </w:r>
      <w:r w:rsidRPr="00781493">
        <w:rPr>
          <w:rFonts w:eastAsia="仿宋_GB2312" w:hint="eastAsia"/>
          <w:sz w:val="32"/>
          <w:szCs w:val="32"/>
        </w:rPr>
        <w:t>部门的名义</w:t>
      </w:r>
      <w:r w:rsidRPr="00781493">
        <w:rPr>
          <w:rFonts w:eastAsia="仿宋_GB2312"/>
          <w:sz w:val="32"/>
          <w:szCs w:val="32"/>
        </w:rPr>
        <w:t>作出审批决定</w:t>
      </w:r>
      <w:r w:rsidRPr="00781493">
        <w:rPr>
          <w:rFonts w:eastAsia="仿宋_GB2312" w:hint="eastAsia"/>
          <w:sz w:val="32"/>
          <w:szCs w:val="32"/>
        </w:rPr>
        <w:t>，必要时可召开专家论证会和开展现场检查</w:t>
      </w:r>
      <w:r w:rsidRPr="00781493">
        <w:rPr>
          <w:rFonts w:eastAsia="仿宋_GB2312"/>
          <w:sz w:val="32"/>
          <w:szCs w:val="32"/>
        </w:rPr>
        <w:t>。调入方所在地省级药品监督管理部门应当将审批决定抄送调出方所在地省级药品监督管理部门。</w:t>
      </w:r>
    </w:p>
    <w:p w:rsidR="006E7481" w:rsidRPr="00781493" w:rsidRDefault="006E7481" w:rsidP="006E7481">
      <w:pPr>
        <w:widowControl/>
        <w:adjustRightInd w:val="0"/>
        <w:snapToGrid w:val="0"/>
        <w:spacing w:line="560" w:lineRule="exact"/>
        <w:ind w:firstLineChars="200" w:firstLine="640"/>
        <w:rPr>
          <w:rFonts w:eastAsia="仿宋_GB2312"/>
          <w:sz w:val="32"/>
          <w:szCs w:val="32"/>
        </w:rPr>
      </w:pPr>
      <w:r w:rsidRPr="00781493">
        <w:rPr>
          <w:rFonts w:eastAsia="仿宋_GB2312"/>
          <w:sz w:val="32"/>
          <w:szCs w:val="32"/>
        </w:rPr>
        <w:t>跨省调剂获得批准后，调入方所在地省级药品监督管理部门应当</w:t>
      </w:r>
      <w:r w:rsidRPr="00781493">
        <w:rPr>
          <w:rFonts w:eastAsia="仿宋_GB2312" w:hint="eastAsia"/>
          <w:sz w:val="32"/>
          <w:szCs w:val="32"/>
        </w:rPr>
        <w:t>及时</w:t>
      </w:r>
      <w:r w:rsidRPr="00781493">
        <w:rPr>
          <w:rFonts w:eastAsia="仿宋_GB2312"/>
          <w:sz w:val="32"/>
          <w:szCs w:val="32"/>
        </w:rPr>
        <w:t>将批准结果</w:t>
      </w:r>
      <w:r w:rsidRPr="00781493">
        <w:rPr>
          <w:rFonts w:eastAsia="仿宋_GB2312" w:hint="eastAsia"/>
          <w:sz w:val="32"/>
          <w:szCs w:val="32"/>
        </w:rPr>
        <w:t>、批准依据及其相关论证资料</w:t>
      </w:r>
      <w:r w:rsidRPr="00781493">
        <w:rPr>
          <w:rFonts w:eastAsia="仿宋_GB2312"/>
          <w:sz w:val="32"/>
          <w:szCs w:val="32"/>
        </w:rPr>
        <w:t>报</w:t>
      </w:r>
      <w:r>
        <w:rPr>
          <w:rFonts w:eastAsia="仿宋_GB2312" w:hint="eastAsia"/>
          <w:sz w:val="32"/>
          <w:szCs w:val="32"/>
        </w:rPr>
        <w:t>送</w:t>
      </w:r>
      <w:r w:rsidRPr="00781493">
        <w:rPr>
          <w:rFonts w:eastAsia="仿宋_GB2312"/>
          <w:sz w:val="32"/>
          <w:szCs w:val="32"/>
        </w:rPr>
        <w:t>国家药品监督管理局。</w:t>
      </w:r>
    </w:p>
    <w:p w:rsidR="006E7481" w:rsidRPr="00781493" w:rsidRDefault="006E7481" w:rsidP="006E7481">
      <w:pPr>
        <w:widowControl/>
        <w:adjustRightInd w:val="0"/>
        <w:snapToGrid w:val="0"/>
        <w:spacing w:line="560" w:lineRule="exact"/>
        <w:ind w:firstLineChars="200" w:firstLine="640"/>
        <w:rPr>
          <w:rFonts w:eastAsia="仿宋_GB2312"/>
          <w:sz w:val="32"/>
          <w:szCs w:val="32"/>
        </w:rPr>
      </w:pPr>
      <w:r w:rsidRPr="00781493">
        <w:rPr>
          <w:rFonts w:eastAsia="仿宋_GB2312"/>
          <w:sz w:val="32"/>
          <w:szCs w:val="32"/>
        </w:rPr>
        <w:t>四、医疗机构制剂的调剂使用，不得超出规定的期限、数量和范围。</w:t>
      </w:r>
    </w:p>
    <w:p w:rsidR="006E7481" w:rsidRDefault="006E7481" w:rsidP="006E7481">
      <w:pPr>
        <w:widowControl/>
        <w:adjustRightInd w:val="0"/>
        <w:snapToGrid w:val="0"/>
        <w:spacing w:line="560" w:lineRule="exact"/>
        <w:ind w:firstLineChars="200" w:firstLine="640"/>
        <w:rPr>
          <w:rFonts w:eastAsia="仿宋_GB2312"/>
          <w:sz w:val="32"/>
          <w:szCs w:val="32"/>
        </w:rPr>
      </w:pPr>
      <w:r w:rsidRPr="00781493">
        <w:rPr>
          <w:rFonts w:eastAsia="仿宋_GB2312"/>
          <w:sz w:val="32"/>
          <w:szCs w:val="32"/>
        </w:rPr>
        <w:t>五、调剂双方对调剂使用的医疗机构制剂负责</w:t>
      </w:r>
      <w:r>
        <w:rPr>
          <w:rFonts w:eastAsia="仿宋_GB2312" w:hint="eastAsia"/>
          <w:sz w:val="32"/>
          <w:szCs w:val="32"/>
        </w:rPr>
        <w:t>。</w:t>
      </w:r>
      <w:r w:rsidRPr="00781493">
        <w:rPr>
          <w:rFonts w:eastAsia="仿宋_GB2312"/>
          <w:sz w:val="32"/>
          <w:szCs w:val="32"/>
        </w:rPr>
        <w:t>调出方应当对调</w:t>
      </w:r>
      <w:r w:rsidRPr="00781493">
        <w:rPr>
          <w:rFonts w:eastAsia="仿宋_GB2312" w:hint="eastAsia"/>
          <w:sz w:val="32"/>
          <w:szCs w:val="32"/>
        </w:rPr>
        <w:t>出</w:t>
      </w:r>
      <w:r w:rsidRPr="00781493">
        <w:rPr>
          <w:rFonts w:eastAsia="仿宋_GB2312"/>
          <w:sz w:val="32"/>
          <w:szCs w:val="32"/>
        </w:rPr>
        <w:t>使用的医疗机构制剂质量负责</w:t>
      </w:r>
      <w:r>
        <w:rPr>
          <w:rFonts w:eastAsia="仿宋_GB2312" w:hint="eastAsia"/>
          <w:sz w:val="32"/>
          <w:szCs w:val="32"/>
        </w:rPr>
        <w:t>；</w:t>
      </w:r>
      <w:r w:rsidRPr="00781493">
        <w:rPr>
          <w:rFonts w:eastAsia="仿宋_GB2312"/>
          <w:sz w:val="32"/>
          <w:szCs w:val="32"/>
        </w:rPr>
        <w:t>调入方应当严格按照说明书使用</w:t>
      </w:r>
      <w:r w:rsidRPr="00781493">
        <w:rPr>
          <w:rFonts w:eastAsia="仿宋_GB2312" w:hint="eastAsia"/>
          <w:sz w:val="32"/>
          <w:szCs w:val="32"/>
        </w:rPr>
        <w:t>调入</w:t>
      </w:r>
      <w:r w:rsidRPr="00781493">
        <w:rPr>
          <w:rFonts w:eastAsia="仿宋_GB2312"/>
          <w:sz w:val="32"/>
          <w:szCs w:val="32"/>
        </w:rPr>
        <w:t>的医疗机构制剂，</w:t>
      </w:r>
      <w:r w:rsidRPr="00781493">
        <w:rPr>
          <w:rFonts w:eastAsia="仿宋_GB2312" w:hint="eastAsia"/>
          <w:sz w:val="32"/>
          <w:szCs w:val="32"/>
        </w:rPr>
        <w:t>对其安全使用负责。</w:t>
      </w:r>
    </w:p>
    <w:p w:rsidR="006E7481" w:rsidRPr="00781493" w:rsidRDefault="006E7481" w:rsidP="006E7481">
      <w:pPr>
        <w:widowControl/>
        <w:adjustRightInd w:val="0"/>
        <w:snapToGrid w:val="0"/>
        <w:spacing w:line="560" w:lineRule="exact"/>
        <w:ind w:firstLineChars="200" w:firstLine="640"/>
        <w:rPr>
          <w:rFonts w:eastAsia="仿宋_GB2312"/>
          <w:sz w:val="32"/>
          <w:szCs w:val="32"/>
        </w:rPr>
      </w:pPr>
      <w:r w:rsidRPr="00863593">
        <w:rPr>
          <w:rFonts w:eastAsia="仿宋_GB2312"/>
          <w:sz w:val="32"/>
          <w:szCs w:val="32"/>
        </w:rPr>
        <w:t>调剂双方</w:t>
      </w:r>
      <w:r>
        <w:rPr>
          <w:rFonts w:eastAsia="仿宋_GB2312" w:hint="eastAsia"/>
          <w:sz w:val="32"/>
          <w:szCs w:val="32"/>
        </w:rPr>
        <w:t>应当</w:t>
      </w:r>
      <w:r w:rsidRPr="00781493">
        <w:rPr>
          <w:rFonts w:eastAsia="仿宋_GB2312"/>
          <w:sz w:val="32"/>
          <w:szCs w:val="32"/>
        </w:rPr>
        <w:t>签订质量保证协议书，质量保证协议书</w:t>
      </w:r>
      <w:r>
        <w:rPr>
          <w:rFonts w:eastAsia="仿宋_GB2312" w:hint="eastAsia"/>
          <w:sz w:val="32"/>
          <w:szCs w:val="32"/>
        </w:rPr>
        <w:t>需</w:t>
      </w:r>
      <w:r w:rsidRPr="00781493">
        <w:rPr>
          <w:rFonts w:eastAsia="仿宋_GB2312"/>
          <w:sz w:val="32"/>
          <w:szCs w:val="32"/>
        </w:rPr>
        <w:t>明确调剂双方在配制、运输、储存、使用等环节的各方责任。</w:t>
      </w:r>
    </w:p>
    <w:p w:rsidR="006E7481" w:rsidRPr="00781493" w:rsidRDefault="006E7481" w:rsidP="006E7481">
      <w:pPr>
        <w:widowControl/>
        <w:adjustRightInd w:val="0"/>
        <w:snapToGrid w:val="0"/>
        <w:spacing w:line="560" w:lineRule="exact"/>
        <w:ind w:firstLineChars="200" w:firstLine="640"/>
        <w:rPr>
          <w:rFonts w:eastAsia="仿宋_GB2312"/>
          <w:sz w:val="32"/>
          <w:szCs w:val="32"/>
        </w:rPr>
      </w:pPr>
      <w:r w:rsidRPr="00781493">
        <w:rPr>
          <w:rFonts w:eastAsia="仿宋_GB2312"/>
          <w:sz w:val="32"/>
          <w:szCs w:val="32"/>
        </w:rPr>
        <w:t>六、调剂双方均应</w:t>
      </w:r>
      <w:r w:rsidR="001756F4">
        <w:rPr>
          <w:rFonts w:eastAsia="仿宋_GB2312" w:hint="eastAsia"/>
          <w:sz w:val="32"/>
          <w:szCs w:val="32"/>
        </w:rPr>
        <w:t>当</w:t>
      </w:r>
      <w:r w:rsidRPr="00781493">
        <w:rPr>
          <w:rFonts w:eastAsia="仿宋_GB2312"/>
          <w:sz w:val="32"/>
          <w:szCs w:val="32"/>
        </w:rPr>
        <w:t>加强对相关医疗机构制剂不良反应的监测，及时将收集到的不良反应通报对方。发生不良反应的，医疗机构还应</w:t>
      </w:r>
      <w:r w:rsidR="001756F4">
        <w:rPr>
          <w:rFonts w:eastAsia="仿宋_GB2312" w:hint="eastAsia"/>
          <w:sz w:val="32"/>
          <w:szCs w:val="32"/>
        </w:rPr>
        <w:t>当</w:t>
      </w:r>
      <w:r w:rsidRPr="00781493">
        <w:rPr>
          <w:rFonts w:eastAsia="仿宋_GB2312"/>
          <w:sz w:val="32"/>
          <w:szCs w:val="32"/>
        </w:rPr>
        <w:t>向所在地省级药品监督管理部门及时报告。</w:t>
      </w:r>
    </w:p>
    <w:p w:rsidR="006E7481" w:rsidRPr="00781493" w:rsidRDefault="006E7481" w:rsidP="006E7481">
      <w:pPr>
        <w:widowControl/>
        <w:adjustRightInd w:val="0"/>
        <w:snapToGrid w:val="0"/>
        <w:spacing w:line="560" w:lineRule="exact"/>
        <w:ind w:firstLineChars="200" w:firstLine="640"/>
        <w:rPr>
          <w:rFonts w:eastAsia="仿宋_GB2312"/>
          <w:sz w:val="32"/>
          <w:szCs w:val="32"/>
        </w:rPr>
      </w:pPr>
      <w:r w:rsidRPr="00781493">
        <w:rPr>
          <w:rFonts w:eastAsia="仿宋_GB2312"/>
          <w:sz w:val="32"/>
          <w:szCs w:val="32"/>
        </w:rPr>
        <w:t>七、调出方所在地省级药品监督管理部门应</w:t>
      </w:r>
      <w:r w:rsidRPr="00781493">
        <w:rPr>
          <w:rFonts w:eastAsia="仿宋_GB2312" w:hint="eastAsia"/>
          <w:sz w:val="32"/>
          <w:szCs w:val="32"/>
        </w:rPr>
        <w:t>当</w:t>
      </w:r>
      <w:r w:rsidRPr="00781493">
        <w:rPr>
          <w:rFonts w:eastAsia="仿宋_GB2312"/>
          <w:sz w:val="32"/>
          <w:szCs w:val="32"/>
        </w:rPr>
        <w:t>加强对医疗机构配制制剂等的监督检查。调入方所在地省级药品监督管理部门应</w:t>
      </w:r>
      <w:r w:rsidR="001756F4">
        <w:rPr>
          <w:rFonts w:eastAsia="仿宋_GB2312" w:hint="eastAsia"/>
          <w:sz w:val="32"/>
          <w:szCs w:val="32"/>
        </w:rPr>
        <w:t>当</w:t>
      </w:r>
      <w:r w:rsidRPr="00781493">
        <w:rPr>
          <w:rFonts w:eastAsia="仿宋_GB2312"/>
          <w:sz w:val="32"/>
          <w:szCs w:val="32"/>
        </w:rPr>
        <w:t>加强对医疗机构使用制剂、不良反应监测等的监督检查。调剂双方所在地省级药品监督管理部门应当相互及时通报监督检查的有关情况。</w:t>
      </w:r>
    </w:p>
    <w:p w:rsidR="006E7481" w:rsidRPr="00781493" w:rsidRDefault="006E7481" w:rsidP="006E7481">
      <w:pPr>
        <w:adjustRightInd w:val="0"/>
        <w:snapToGrid w:val="0"/>
        <w:spacing w:line="560" w:lineRule="exact"/>
        <w:ind w:firstLineChars="200" w:firstLine="640"/>
        <w:rPr>
          <w:rFonts w:eastAsia="仿宋_GB2312"/>
          <w:sz w:val="32"/>
          <w:szCs w:val="32"/>
        </w:rPr>
      </w:pPr>
      <w:r w:rsidRPr="00781493">
        <w:rPr>
          <w:rFonts w:eastAsia="仿宋_GB2312"/>
          <w:sz w:val="32"/>
          <w:szCs w:val="32"/>
        </w:rPr>
        <w:t>八、申请跨省调剂医疗机构制剂</w:t>
      </w:r>
      <w:r w:rsidRPr="00781493">
        <w:rPr>
          <w:rFonts w:eastAsia="仿宋_GB2312" w:hint="eastAsia"/>
          <w:sz w:val="32"/>
          <w:szCs w:val="32"/>
        </w:rPr>
        <w:t>，</w:t>
      </w:r>
      <w:r w:rsidRPr="00781493">
        <w:rPr>
          <w:rFonts w:eastAsia="仿宋_GB2312"/>
          <w:sz w:val="32"/>
          <w:szCs w:val="32"/>
        </w:rPr>
        <w:t>应当提交调剂双方签</w:t>
      </w:r>
      <w:r w:rsidRPr="00781493">
        <w:rPr>
          <w:rFonts w:eastAsia="仿宋_GB2312"/>
          <w:sz w:val="32"/>
          <w:szCs w:val="32"/>
        </w:rPr>
        <w:lastRenderedPageBreak/>
        <w:t>署的质量保证协议书及《医疗机构制剂注册管理办法</w:t>
      </w:r>
      <w:r w:rsidRPr="00781493">
        <w:rPr>
          <w:rFonts w:eastAsia="仿宋_GB2312"/>
          <w:color w:val="000000"/>
          <w:sz w:val="32"/>
          <w:szCs w:val="32"/>
        </w:rPr>
        <w:t>（试行）》</w:t>
      </w:r>
      <w:r w:rsidRPr="00781493">
        <w:rPr>
          <w:rFonts w:eastAsia="仿宋_GB2312"/>
          <w:sz w:val="32"/>
          <w:szCs w:val="32"/>
        </w:rPr>
        <w:t>规定的相关资料。</w:t>
      </w:r>
    </w:p>
    <w:p w:rsidR="006E7481" w:rsidRPr="00781493" w:rsidRDefault="006E7481" w:rsidP="006E7481">
      <w:pPr>
        <w:widowControl/>
        <w:adjustRightInd w:val="0"/>
        <w:snapToGrid w:val="0"/>
        <w:spacing w:line="560" w:lineRule="exact"/>
        <w:ind w:firstLineChars="200" w:firstLine="640"/>
        <w:rPr>
          <w:rFonts w:eastAsia="仿宋_GB2312"/>
          <w:sz w:val="32"/>
          <w:szCs w:val="32"/>
        </w:rPr>
      </w:pPr>
      <w:r w:rsidRPr="00781493">
        <w:rPr>
          <w:rFonts w:eastAsia="仿宋_GB2312"/>
          <w:sz w:val="32"/>
          <w:szCs w:val="32"/>
        </w:rPr>
        <w:t>九、省级药品监督管理部门</w:t>
      </w:r>
      <w:r w:rsidRPr="00781493">
        <w:rPr>
          <w:rFonts w:eastAsia="仿宋_GB2312" w:hint="eastAsia"/>
          <w:sz w:val="32"/>
          <w:szCs w:val="32"/>
        </w:rPr>
        <w:t>应当将跨省调剂审批过程中发现的重大问题及时报告</w:t>
      </w:r>
      <w:r w:rsidRPr="00781493">
        <w:rPr>
          <w:rFonts w:eastAsia="仿宋_GB2312"/>
          <w:sz w:val="32"/>
          <w:szCs w:val="32"/>
        </w:rPr>
        <w:t>国家药品监督管理局</w:t>
      </w:r>
      <w:r w:rsidRPr="00781493">
        <w:rPr>
          <w:rFonts w:eastAsia="仿宋_GB2312" w:hint="eastAsia"/>
          <w:sz w:val="32"/>
          <w:szCs w:val="32"/>
        </w:rPr>
        <w:t>。</w:t>
      </w:r>
      <w:r w:rsidRPr="00781493">
        <w:rPr>
          <w:rFonts w:eastAsia="仿宋_GB2312"/>
          <w:sz w:val="32"/>
          <w:szCs w:val="32"/>
        </w:rPr>
        <w:t>国家药品监督管理局</w:t>
      </w:r>
      <w:r w:rsidRPr="00781493">
        <w:rPr>
          <w:rFonts w:eastAsia="仿宋_GB2312" w:hint="eastAsia"/>
          <w:sz w:val="32"/>
          <w:szCs w:val="32"/>
        </w:rPr>
        <w:t>对违反本决定的审批行为予以纠正或者撤销。</w:t>
      </w:r>
    </w:p>
    <w:p w:rsidR="006E7481" w:rsidRPr="00781493" w:rsidRDefault="006E7481" w:rsidP="006E7481">
      <w:pPr>
        <w:spacing w:line="560" w:lineRule="exact"/>
        <w:ind w:firstLineChars="200" w:firstLine="640"/>
        <w:rPr>
          <w:rFonts w:eastAsia="仿宋_GB2312"/>
          <w:color w:val="000000"/>
          <w:sz w:val="32"/>
          <w:szCs w:val="32"/>
        </w:rPr>
      </w:pPr>
      <w:r w:rsidRPr="00781493">
        <w:rPr>
          <w:rFonts w:ascii="Calibri" w:eastAsia="仿宋_GB2312" w:hAnsi="Calibri" w:hint="eastAsia"/>
          <w:sz w:val="32"/>
          <w:szCs w:val="32"/>
        </w:rPr>
        <w:t>十、</w:t>
      </w:r>
      <w:r w:rsidRPr="00781493">
        <w:rPr>
          <w:rFonts w:eastAsia="仿宋_GB2312"/>
          <w:color w:val="000000"/>
          <w:sz w:val="32"/>
          <w:szCs w:val="32"/>
        </w:rPr>
        <w:t>省级药品监督管理部门可以根据本决定，结合本地实际制定实施细则。</w:t>
      </w:r>
    </w:p>
    <w:p w:rsidR="00BD4AEF" w:rsidRPr="006E7481" w:rsidRDefault="006E7481" w:rsidP="001756F4">
      <w:pPr>
        <w:spacing w:line="560" w:lineRule="exact"/>
        <w:ind w:firstLineChars="200" w:firstLine="640"/>
      </w:pPr>
      <w:r w:rsidRPr="00781493">
        <w:rPr>
          <w:rFonts w:eastAsia="仿宋_GB2312"/>
          <w:color w:val="000000"/>
          <w:sz w:val="32"/>
          <w:szCs w:val="32"/>
        </w:rPr>
        <w:t>本决定自发布之日起实施。《医疗机构制剂注册管理办法（试行）》中有关医疗机构制剂管理与本决定不一致的，按照本决定执行。</w:t>
      </w:r>
    </w:p>
    <w:sectPr w:rsidR="00BD4AEF" w:rsidRPr="006E7481" w:rsidSect="00C311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948" w:rsidRDefault="00742948" w:rsidP="006E7481">
      <w:r>
        <w:separator/>
      </w:r>
    </w:p>
  </w:endnote>
  <w:endnote w:type="continuationSeparator" w:id="1">
    <w:p w:rsidR="00742948" w:rsidRDefault="00742948" w:rsidP="006E7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948" w:rsidRDefault="00742948" w:rsidP="006E7481">
      <w:r>
        <w:separator/>
      </w:r>
    </w:p>
  </w:footnote>
  <w:footnote w:type="continuationSeparator" w:id="1">
    <w:p w:rsidR="00742948" w:rsidRDefault="00742948" w:rsidP="006E7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32A"/>
    <w:rsid w:val="000A07CA"/>
    <w:rsid w:val="001756F4"/>
    <w:rsid w:val="002751FA"/>
    <w:rsid w:val="003379D5"/>
    <w:rsid w:val="0034432A"/>
    <w:rsid w:val="006E7481"/>
    <w:rsid w:val="007026D0"/>
    <w:rsid w:val="00742948"/>
    <w:rsid w:val="008C29E1"/>
    <w:rsid w:val="008D784E"/>
    <w:rsid w:val="00BD4AEF"/>
    <w:rsid w:val="00C3117D"/>
    <w:rsid w:val="00E00FF8"/>
    <w:rsid w:val="00E0672E"/>
    <w:rsid w:val="00E85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4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481"/>
    <w:rPr>
      <w:sz w:val="18"/>
      <w:szCs w:val="18"/>
    </w:rPr>
  </w:style>
  <w:style w:type="paragraph" w:styleId="a4">
    <w:name w:val="footer"/>
    <w:basedOn w:val="a"/>
    <w:link w:val="Char0"/>
    <w:uiPriority w:val="99"/>
    <w:unhideWhenUsed/>
    <w:rsid w:val="006E74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4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4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481"/>
    <w:rPr>
      <w:sz w:val="18"/>
      <w:szCs w:val="18"/>
    </w:rPr>
  </w:style>
  <w:style w:type="paragraph" w:styleId="a4">
    <w:name w:val="footer"/>
    <w:basedOn w:val="a"/>
    <w:link w:val="Char0"/>
    <w:uiPriority w:val="99"/>
    <w:unhideWhenUsed/>
    <w:rsid w:val="006E74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4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1026</Characters>
  <Application>Microsoft Office Word</Application>
  <DocSecurity>0</DocSecurity>
  <Lines>8</Lines>
  <Paragraphs>2</Paragraphs>
  <ScaleCrop>false</ScaleCrop>
  <Company>CFDA</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程小芳</dc:creator>
  <cp:lastModifiedBy>Windows 用户</cp:lastModifiedBy>
  <cp:revision>2</cp:revision>
  <dcterms:created xsi:type="dcterms:W3CDTF">2018-07-19T08:15:00Z</dcterms:created>
  <dcterms:modified xsi:type="dcterms:W3CDTF">2018-07-19T08:15:00Z</dcterms:modified>
</cp:coreProperties>
</file>