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3B" w:rsidRDefault="00EB5D3B" w:rsidP="00EB5D3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B5D3B" w:rsidRDefault="00EB5D3B" w:rsidP="00EB5D3B">
      <w:pPr>
        <w:jc w:val="center"/>
      </w:pPr>
      <w:r>
        <w:rPr>
          <w:rFonts w:ascii="小标宋" w:eastAsia="小标宋" w:hAnsi="小标宋" w:cs="小标宋" w:hint="eastAsia"/>
          <w:sz w:val="40"/>
          <w:szCs w:val="40"/>
        </w:rPr>
        <w:t>“科创中国”创新基地（产学研协作类）拟认定名单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6070"/>
        <w:gridCol w:w="4770"/>
        <w:gridCol w:w="2975"/>
      </w:tblGrid>
      <w:tr w:rsidR="00EB5D3B" w:rsidTr="00487E7E">
        <w:trPr>
          <w:cantSplit/>
          <w:trHeight w:val="699"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创新基地名称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依托单位名称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推荐单位名称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“科创中国”北京大学智慧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康养创新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中华护理学会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“科创中国”数字地球创新基地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中科星图股份有限公司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中国指挥与控制学会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“科创中国”衢州职业技术学院创新基地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衢州职业技术学院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中国针灸学会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“科创中国”北京大学第三医院创新基地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北京大学第三医院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中国女医师协会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“科创中国”创新设计创新基地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青岛海尔创新科技有限公司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中国流行色协会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“科创中国”生物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基材料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宏业控股集团有限公司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中国化工学会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“科创中国”纺织服装（泉州）创新基地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石狮市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中纺学服装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及配饰产业研究院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中国纺织工程学会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算力网络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中国联合网络通信集团有限公司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中国标准化协会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“科创中国”轨道交通运行控制系统创新基地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交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控科技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詹天佑科学技术发展基金会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信创领域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天津先进技术研究院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天津市科协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“科创中国”成都理工大学资源与环境创新基地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成都理工大学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四川省科协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“科创中国”光刻装备创新基地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上海微电子装备（集团）股份有限公司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上海市科协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“科创中国”智能机电创新基地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湖北香城智能机电研究院有限公司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“科创中国”国网甘肃电科院创新基地</w:t>
            </w:r>
            <w:proofErr w:type="gramEnd"/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国家电网甘肃省电力公司电力科学研究院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甘肃省科协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“科创中国”光电信息创新基地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闽都创新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实验室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福建省科协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“科创中国”园艺创新基地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中国农业科学院蔬菜花卉研究所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中国园艺学会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“科创中国”大熊猫国家公园创新基地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中国大熊猫保护研究中心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中国野生动物保护协会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“科创中国”黄河和长江中游山地森林带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类种质资源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保育与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高效生态型产业链协同创新基地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北京林业大学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中国野生动物保护协会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“科创中国”中国中元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智慧消防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中国中元国际工程有限公司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中国消防协会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“科创中国”无人机应急救援装备研发及示范应用创新基地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河南省猎鹰消防科技有限公司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中国消防协会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“科创中国”三河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牛创新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呼伦贝尔农垦谢尔塔拉农牧场有限公司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中国农村专业技术协会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“科创中国”交通运输智慧治理产学研协作创新基地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安徽省淮北市交通运输局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中国公路学会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“科创中国”车联网数字交通创新基地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先导（苏州）数字产业投资有限公司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中国公路学会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“科创中国”园林绿化创新基地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北京市园林绿化科学研究院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中国风景园林学会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“科创中国”生态园林创新基地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上海市园林科学规划研究院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中国风景园林学会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“科创中国”高能量密度固态电池创新基地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浙江金羽新能源科技有限公司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浙江省科协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“科创中国”工业互联网创新基地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宁波工业互联网研究院有限公司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浙江省科协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“科创中国”云南高原特色农业创新基地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云南省农业科学院生物技术与种质资源研究所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“科创中国”绿色铝基新材料创新基地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云南铝业股份有限公司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“科创中国”内分泌代谢性疾病干细胞与基因治疗创新基地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山东省科协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“科创中国”智能农机装备创新基地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潍柴雷沃重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工股份有限公司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山东省科协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“科创中国”生命健康产业（长春）创新基地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长春生命健康产业研究院有限公司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吉林省科协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“科创中国”衡阳白沙绿岛创新基地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衡阳市白沙绿岛投资开发有限公司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“科创中国”电网防灾减灾创新基地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国网湖南省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电力有限公司防灾减灾中心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“科创中国”湖北荆门产业技术研究院创新基地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湖北荆门产业技术研究院有限公司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“科创中国”液态金属前沿新材料创新基地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云南中宣液态金属科技有限公司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云南省科协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“科创中国”风力发电创新基地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新疆金风科技股份有限公司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“科创中国”青藏高原生态产品创新基地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中国科学院西北高原生物研究所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青海省科协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“科创中国”江铜创新基地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江西铜业集团有限公司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江西省科协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“科创中国”北京航空航天大学江西研究院创新基地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北京航空航天大学江西研究院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江西省科协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“科创中国”物联网创新基地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无锡物联网创新中心有限公司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江苏省科协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“科创中国”环境功能材料创新基地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河南省科学院化学研究所有限公司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河南省科协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“科创中国”草原牲畜智能养殖创新基地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内蒙古科技大学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内蒙古科协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“科创中国”郑州大学产业技术研究院创新基地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郑州大学产业技术研究院有限公司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河南省科协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“科创中国”聚碳酸酯产学研协作创新基地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濮阳市盛通聚源新材料有限公司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河南省科协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“科创中国”慈铭生殖健康创新基地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铭博鳌国际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医院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海南省科协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“科创中国”贵州贵安战略研究院创新基地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贵州贵安战略研究院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贵州省科协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“科创中国”政府治理大数据创新基地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中电科大数据研究院有限公司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贵州省科协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“科创中国”高端铝合金材料创新基地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广西南南铝加工有限公司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广西科协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“科创中国”射频开关电源创新基地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深圳市恒运昌真空技术有限公司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广东省科协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“科创中国”中国科大先研院创新基地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中国科学技术大学先进技术研究院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安徽省科协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“科创中国”智能机器人创新基地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埃夫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智能装备股份有限公司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安徽省科协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“科创中国”中医药贴敷技术创新基地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亚宝药业集团股份有限公司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中华中医药学会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“科创中国”飞桨人工智能创新基地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北京百度网讯科技有限公司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中国自动化学会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“科创中国”深圳现代安全实景模拟创新基地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深圳市城市公共安全技术研究院有限公司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中国自动化学会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“科创中国”智能与绿色印刷创新基地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上海出版印刷高等专科学校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中国印刷技术协会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“科创中国”盛通股份创新基地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北京盛通印刷股份有限公司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中国印刷技术协会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“科创中国”设施蔬菜创新基地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山东省寿光蔬菜产业集团有限公司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中国农村专业技术协会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“科创中国”核技术创新基地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济南中科核技术研究院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中国核学会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“科创中国”中核集团核安保技术创新基地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中核第四研究设计工程有限公司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中国核学会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“科创中国”中科院海洋所创新基地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中国科学院海洋研究所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中国海洋湖沼学会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“科创中国”乡村振兴创新基地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北京超选智能科技研究院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中国国土经济学会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“科创中国”华中农业大学园艺学创新基地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华中农业大学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中国园艺学会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“科创中国”有色创新基地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中国恩菲工程技术有限公司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中国有色金属学会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“科创中国”稀有金属材料创新基地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西北有色金属研究院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中国有色金属学会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“科创中国”超精密测量与仪器技术创新基地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哈尔滨工业大学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中国仪器仪表学会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67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“科创中国”创新药物研发创新基地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浙江大学智能创新药物研究院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“科创中国”遥感技术创新基地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湖南东方至远科技有限公司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中国遥感应用协会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“科创中国”能源与环境创新基地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柳林能源与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环境院士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工作站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中国岩石力学与工程学会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“科创中国”绿色钢铁智能冶金技术创新基地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北京建龙重工集团有限公司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中国金属学会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“科创中国”新一代半导体创新基地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湖南省科创检验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检测认证研究院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中国检验检测学会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“科创中国”八月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瓜科技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北京八月瓜科技有限公司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中国技术经济学会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“科创中国”地下工程灾害防控与智能建造创新基地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中国岩石力学与工程学会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“科创中国”动物健康创新基地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中国农业科学院北京畜牧兽医研究所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中国微生物学会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“科创中国”微生物发酵工艺优化与控制创新基地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中国微生物学会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“科创中国”轨道交通自主运行创新基地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北京全路通信信号研究设计院集团有限公司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中国铁道学会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77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“科创中国”铁路空间信息技术创新基地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中铁第五勘察设计院集团有限公司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中国铁道学会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“科创中国”半导体芯片检测技术创新基地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西安交通大学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中国计量测试学会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“科创中国”真空技术创新基地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北京东方计量测试研究所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中国计量测试学会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“科创中国”焊接创新基地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天津市金桥焊材集团股份有限公司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中国机械工程学会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“科创中国”草业创新基地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句容市南农大草坪研究院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中国草学会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“科创中国”优质牧草种植加工创新基地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内蒙古正时生态农业（集团）有限公司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中国草学会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“科创中国”中国电建华东院创新基地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中国电建集团华东勘测设计研究院有限公司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中国水力发电工程学会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“科创中国”数字技术创新基地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南方电网数字电网研究院有限公司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中国电子学会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“科创中国”电力电子创新基地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上海临港电力电子研究有限公司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中国电源学会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“科创中国”英飞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开关电源创新基地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英飞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电子（杭州）股份有限公司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中国电源学会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“科创中国”能源互联网创新基地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清华四川能源互联网研究院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中国电机工程学会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“科创中国”浙江温州近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零碳数智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浙江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图盛输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变电工程有限公司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中国电机工程学会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89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“科创中国”常州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科教城创新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常州龙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城中高技术转移转化有限公司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中国兵工学会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“科创中国”军工安防与应急创新基地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安华消防新材料科技（江苏）有限公司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中国兵工学会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“科创中国”中国汽车工程学会创新基地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《汽车之友》杂志社有限公司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中国汽车工程学会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“科创中国”汽车轻量化创新基地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国汽轻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量化（江苏）汽车技术有限公司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中国汽车工程学会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“科创中国”肉类产业加工科技创新基地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中国农业科学院农产品加工研究所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“科创中国”中国农业大学涿州创新基地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中国农学会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“科创中国”煤炭绿色智能开发创新基地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中国矿业大学（北京）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中国煤炭学会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“科创中国”重盐碱地生态治理创新基地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天津泰达绿化科技集团股份有限公司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中国林学会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“科创中国”石斛种质资源创新基地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四川干邦亚农业科技有限公司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中国林学会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“科创中国”医疗器械高新技术创新基地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北京昌科华光科技有限公司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 xml:space="preserve">中国科协生命科学学会联合体 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99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眼谷创新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温州眼视光国际创新中心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 xml:space="preserve">中国科协生命科学学会联合体 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“科创中国”中医药创新基地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首都医科大学附属北京中医医院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中国中西医结合学会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“科创中国”数字家庭创新基地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青岛海尔智能技术研发有限公司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中国制冷学会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“科创中国”长三角创新基地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长三角物理研究中心有限公司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中国物理学会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“科创中国”数字建造创新基地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中建工程产业技术研究院有限公司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中国图学学会</w:t>
            </w:r>
            <w:proofErr w:type="gramEnd"/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“科创中国”发动机特种材料创新基地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上海大学（浙江）高端装备基础件材料研究院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中国内燃机学会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“科创中国”重庆科技经济融合创新基地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重庆市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菁英科技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经济融合发展服务中心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重庆市科协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“科创中国”现代中药研发创新基地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天士力医药集团股份有限公司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中华中医药学会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“科创中国”城市轨道交通创新基地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北京城建设计发展集团股份有限公司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中国土木工程学会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“科创中国”健康医学人工智能创新基地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南京曦光信息科技研究院有限公司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中国生物医学工程学会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109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“科创中国”中北长治创新基地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中北大学-长治产业技术研究院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山西省科协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“科创中国”产业互联网创新基地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联通（广东）产业互联网有限公司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广东省科协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“科创中国”北京市科学技术研究院创新基地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北京市科学技术研究院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北京市科协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“科创中国”抽水蓄能与新型储能创新基地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南方电网调峰调频发电有限公司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中国水力发电工程学会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“科创中国”中国科大创新基地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中国科学技术大学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中国数学会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“科创中国”乳业创新基地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内蒙古乳业技术研究院有限责任公司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中国食品科学技术学会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“科创中国”晨光生物植物提取创新基地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晨光生物科技集团股份有限公司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中国食品科学技术学会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“科技中国”细胞与再生医学创新基地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南华生物医药股份有限公司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中国生物工程学会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“科创中国”多模态远场感知与AI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异构云脑创新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北京声智科技有限公司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中国人工智能学会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“科创中国”人工智能治疗创新基地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数坤（北京）网络科技股份有限公司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中国人工智能学会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“科创中国”重点原材料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行业双碳创新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检测试控股集团股份有限公司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中国能源研究会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“科创中国”冠农农产品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新疆冠农检测科技有限公司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新疆兵团科协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“科创中国”新疆干细胞资源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库创新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新疆碳智干细胞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库有限公司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新疆兵团科协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“科创中国”西部陇南防灾减灾技术创新基地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陇南新微电地震研究科技有限公司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甘肃省科协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“科创中国”智能制鞋装备产业创新基地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泉州华中科技大学智能制造研究院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福建省科协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“科创中国”轨道交通与能源装备创新基地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西安中车永电电气有限公司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陕西省科协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“科创中国”藏毯产业领域创新基地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圣源地毯集团有限公司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青海省科协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“科创中国”银川产业技术创新基地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银川产业技术研究院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宁夏科协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“科创中国”中国营养学会-百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事创新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百事亚洲研发中心有限公司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中国营养学会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科亿海微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-北理工创新基地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科亿海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微电子科技（苏州）有限公司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图象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图形学学会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“科创中国”5G车联网创新基地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西南交通大学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中国通信学会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“科创中国”中国土木工程学会-哲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智能锂电池安全创新基地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智能系统（上海）有限公司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中国土木工程学会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“科创中国”北京自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贸创新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服务中心创新基地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北京新航城建设实业发展有限公司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北京市科协</w:t>
            </w:r>
          </w:p>
        </w:tc>
      </w:tr>
      <w:tr w:rsidR="00EB5D3B" w:rsidTr="00487E7E">
        <w:trPr>
          <w:cantSplit/>
          <w:tblHeader/>
          <w:jc w:val="center"/>
        </w:trPr>
        <w:tc>
          <w:tcPr>
            <w:tcW w:w="922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13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60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“科创中国”山西大学-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岳康药业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创新基地</w:t>
            </w:r>
          </w:p>
        </w:tc>
        <w:tc>
          <w:tcPr>
            <w:tcW w:w="4770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岳康药业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975" w:type="dxa"/>
            <w:vAlign w:val="center"/>
          </w:tcPr>
          <w:p w:rsidR="00EB5D3B" w:rsidRDefault="00EB5D3B" w:rsidP="00487E7E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山西省科协</w:t>
            </w:r>
          </w:p>
        </w:tc>
      </w:tr>
    </w:tbl>
    <w:p w:rsidR="00EB5D3B" w:rsidRDefault="00EB5D3B" w:rsidP="00EB5D3B">
      <w:pPr>
        <w:sectPr w:rsidR="00EB5D3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AC6AF9" w:rsidRDefault="00AC6AF9"/>
    <w:sectPr w:rsidR="00AC6AF9" w:rsidSect="00EB5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B"/>
    <w:rsid w:val="00AC6AF9"/>
    <w:rsid w:val="00E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5D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5D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2022-08-01T01:48:00Z</dcterms:created>
  <dcterms:modified xsi:type="dcterms:W3CDTF">2022-08-01T01:48:00Z</dcterms:modified>
</cp:coreProperties>
</file>