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AF" w:rsidRPr="000562A1" w:rsidRDefault="001F28AF" w:rsidP="001F28AF">
      <w:pPr>
        <w:spacing w:line="600" w:lineRule="exact"/>
        <w:jc w:val="left"/>
        <w:rPr>
          <w:rFonts w:ascii="黑体" w:eastAsia="黑体" w:hAnsi="黑体"/>
          <w:sz w:val="32"/>
          <w:szCs w:val="32"/>
        </w:rPr>
      </w:pPr>
      <w:r w:rsidRPr="000562A1">
        <w:rPr>
          <w:rFonts w:ascii="黑体" w:eastAsia="黑体" w:hAnsi="黑体"/>
          <w:sz w:val="32"/>
          <w:szCs w:val="32"/>
        </w:rPr>
        <w:t>附件2</w:t>
      </w:r>
    </w:p>
    <w:p w:rsidR="001F28AF" w:rsidRDefault="001F28AF" w:rsidP="001F28AF">
      <w:pPr>
        <w:spacing w:line="600" w:lineRule="exact"/>
        <w:jc w:val="center"/>
        <w:rPr>
          <w:rFonts w:eastAsia="方正小标宋简体"/>
          <w:sz w:val="44"/>
          <w:szCs w:val="44"/>
        </w:rPr>
      </w:pPr>
    </w:p>
    <w:p w:rsidR="001F28AF" w:rsidRPr="00435FF0" w:rsidRDefault="001F28AF" w:rsidP="001F28AF">
      <w:pPr>
        <w:spacing w:line="600" w:lineRule="exact"/>
        <w:jc w:val="center"/>
        <w:rPr>
          <w:rFonts w:eastAsia="方正小标宋简体"/>
          <w:sz w:val="44"/>
          <w:szCs w:val="44"/>
        </w:rPr>
      </w:pPr>
      <w:r w:rsidRPr="00435FF0">
        <w:rPr>
          <w:rFonts w:eastAsia="方正小标宋简体"/>
          <w:sz w:val="44"/>
          <w:szCs w:val="44"/>
        </w:rPr>
        <w:t>国家食品药品监督管理总局第一批废止和宣布失效</w:t>
      </w:r>
      <w:r>
        <w:rPr>
          <w:rFonts w:eastAsia="方正小标宋简体" w:hint="eastAsia"/>
          <w:sz w:val="44"/>
          <w:szCs w:val="44"/>
        </w:rPr>
        <w:t>的</w:t>
      </w:r>
      <w:r w:rsidRPr="00435FF0">
        <w:rPr>
          <w:rFonts w:eastAsia="方正小标宋简体"/>
          <w:sz w:val="44"/>
          <w:szCs w:val="44"/>
        </w:rPr>
        <w:t>规范性文件目录</w:t>
      </w:r>
    </w:p>
    <w:p w:rsidR="001F28AF" w:rsidRPr="000562A1" w:rsidRDefault="001F28AF" w:rsidP="001F28AF">
      <w:pPr>
        <w:spacing w:line="600" w:lineRule="exact"/>
        <w:jc w:val="center"/>
        <w:rPr>
          <w:rFonts w:eastAsia="楷体_GB2312"/>
          <w:sz w:val="32"/>
          <w:szCs w:val="32"/>
        </w:rPr>
      </w:pPr>
      <w:r w:rsidRPr="000562A1">
        <w:rPr>
          <w:rFonts w:eastAsia="楷体_GB2312"/>
          <w:sz w:val="32"/>
          <w:szCs w:val="32"/>
        </w:rPr>
        <w:t>（</w:t>
      </w:r>
      <w:r w:rsidRPr="000562A1">
        <w:rPr>
          <w:rFonts w:eastAsia="楷体_GB2312"/>
          <w:sz w:val="32"/>
          <w:szCs w:val="32"/>
        </w:rPr>
        <w:t>2013</w:t>
      </w:r>
      <w:r w:rsidRPr="000562A1">
        <w:rPr>
          <w:rFonts w:eastAsia="楷体_GB2312"/>
          <w:sz w:val="32"/>
          <w:szCs w:val="32"/>
        </w:rPr>
        <w:t>年</w:t>
      </w:r>
      <w:r w:rsidRPr="000562A1">
        <w:rPr>
          <w:rFonts w:eastAsia="楷体_GB2312"/>
          <w:sz w:val="32"/>
          <w:szCs w:val="32"/>
        </w:rPr>
        <w:t>4</w:t>
      </w:r>
      <w:r w:rsidRPr="000562A1">
        <w:rPr>
          <w:rFonts w:eastAsia="楷体_GB2312"/>
          <w:sz w:val="32"/>
          <w:szCs w:val="32"/>
        </w:rPr>
        <w:t>月</w:t>
      </w:r>
      <w:r w:rsidRPr="000562A1">
        <w:rPr>
          <w:rFonts w:eastAsia="楷体_GB2312"/>
          <w:sz w:val="32"/>
          <w:szCs w:val="32"/>
        </w:rPr>
        <w:t>1</w:t>
      </w:r>
      <w:r w:rsidRPr="000562A1">
        <w:rPr>
          <w:rFonts w:eastAsia="楷体_GB2312"/>
          <w:sz w:val="32"/>
          <w:szCs w:val="32"/>
        </w:rPr>
        <w:t>日</w:t>
      </w:r>
      <w:r w:rsidRPr="000562A1">
        <w:rPr>
          <w:rFonts w:eastAsia="楷体_GB2312"/>
          <w:sz w:val="32"/>
          <w:szCs w:val="32"/>
        </w:rPr>
        <w:t>—2015</w:t>
      </w:r>
      <w:r w:rsidRPr="000562A1">
        <w:rPr>
          <w:rFonts w:eastAsia="楷体_GB2312"/>
          <w:sz w:val="32"/>
          <w:szCs w:val="32"/>
        </w:rPr>
        <w:t>年</w:t>
      </w:r>
      <w:r w:rsidRPr="000562A1">
        <w:rPr>
          <w:rFonts w:eastAsia="楷体_GB2312"/>
          <w:sz w:val="32"/>
          <w:szCs w:val="32"/>
        </w:rPr>
        <w:t>12</w:t>
      </w:r>
      <w:r w:rsidRPr="000562A1">
        <w:rPr>
          <w:rFonts w:eastAsia="楷体_GB2312"/>
          <w:sz w:val="32"/>
          <w:szCs w:val="32"/>
        </w:rPr>
        <w:t>月</w:t>
      </w:r>
      <w:r w:rsidRPr="000562A1">
        <w:rPr>
          <w:rFonts w:eastAsia="楷体_GB2312"/>
          <w:sz w:val="32"/>
          <w:szCs w:val="32"/>
        </w:rPr>
        <w:t>31</w:t>
      </w:r>
      <w:r w:rsidRPr="000562A1">
        <w:rPr>
          <w:rFonts w:eastAsia="楷体_GB2312"/>
          <w:sz w:val="32"/>
          <w:szCs w:val="32"/>
        </w:rPr>
        <w:t>日）</w:t>
      </w:r>
    </w:p>
    <w:p w:rsidR="001F28AF" w:rsidRPr="00435FF0" w:rsidRDefault="001F28AF" w:rsidP="001F28AF">
      <w:pPr>
        <w:spacing w:line="600" w:lineRule="exact"/>
        <w:jc w:val="left"/>
        <w:rPr>
          <w:rFonts w:eastAsia="楷体"/>
          <w:sz w:val="32"/>
          <w:szCs w:val="32"/>
        </w:rPr>
      </w:pPr>
    </w:p>
    <w:tbl>
      <w:tblPr>
        <w:tblW w:w="0" w:type="auto"/>
        <w:tblInd w:w="93" w:type="dxa"/>
        <w:tblLook w:val="04A0"/>
      </w:tblPr>
      <w:tblGrid>
        <w:gridCol w:w="776"/>
        <w:gridCol w:w="776"/>
        <w:gridCol w:w="5527"/>
        <w:gridCol w:w="2693"/>
        <w:gridCol w:w="1471"/>
        <w:gridCol w:w="1336"/>
        <w:gridCol w:w="1336"/>
      </w:tblGrid>
      <w:tr w:rsidR="001F28AF" w:rsidRPr="00435FF0" w:rsidTr="00F96667">
        <w:trPr>
          <w:trHeight w:val="37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rFonts w:eastAsia="黑体"/>
                <w:color w:val="000000"/>
                <w:kern w:val="0"/>
                <w:sz w:val="28"/>
                <w:szCs w:val="28"/>
              </w:rPr>
            </w:pPr>
            <w:r w:rsidRPr="00435FF0">
              <w:rPr>
                <w:rFonts w:eastAsia="黑体"/>
                <w:color w:val="000000"/>
                <w:kern w:val="0"/>
                <w:sz w:val="28"/>
                <w:szCs w:val="2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rFonts w:eastAsia="黑体"/>
                <w:color w:val="000000"/>
                <w:kern w:val="0"/>
                <w:sz w:val="28"/>
                <w:szCs w:val="28"/>
              </w:rPr>
            </w:pPr>
            <w:r w:rsidRPr="00435FF0">
              <w:rPr>
                <w:rFonts w:eastAsia="黑体"/>
                <w:color w:val="000000"/>
                <w:kern w:val="0"/>
                <w:sz w:val="28"/>
                <w:szCs w:val="28"/>
              </w:rPr>
              <w:t>分类</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rFonts w:eastAsia="黑体"/>
                <w:color w:val="000000"/>
                <w:kern w:val="0"/>
                <w:sz w:val="28"/>
                <w:szCs w:val="28"/>
              </w:rPr>
            </w:pPr>
            <w:r w:rsidRPr="00435FF0">
              <w:rPr>
                <w:rFonts w:eastAsia="黑体"/>
                <w:color w:val="000000"/>
                <w:kern w:val="0"/>
                <w:sz w:val="28"/>
                <w:szCs w:val="28"/>
              </w:rPr>
              <w:t>文件名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rFonts w:eastAsia="黑体"/>
                <w:color w:val="000000"/>
                <w:kern w:val="0"/>
                <w:sz w:val="28"/>
                <w:szCs w:val="28"/>
              </w:rPr>
            </w:pPr>
            <w:r w:rsidRPr="00435FF0">
              <w:rPr>
                <w:rFonts w:eastAsia="黑体"/>
                <w:color w:val="000000"/>
                <w:kern w:val="0"/>
                <w:sz w:val="28"/>
                <w:szCs w:val="28"/>
              </w:rPr>
              <w:t>文号</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rFonts w:eastAsia="黑体"/>
                <w:color w:val="000000"/>
                <w:kern w:val="0"/>
                <w:sz w:val="28"/>
                <w:szCs w:val="28"/>
              </w:rPr>
            </w:pPr>
            <w:r w:rsidRPr="00435FF0">
              <w:rPr>
                <w:rFonts w:eastAsia="黑体"/>
                <w:color w:val="000000"/>
                <w:kern w:val="0"/>
                <w:sz w:val="28"/>
                <w:szCs w:val="28"/>
              </w:rPr>
              <w:t>发文日期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rFonts w:eastAsia="黑体"/>
                <w:color w:val="000000"/>
                <w:kern w:val="0"/>
                <w:sz w:val="28"/>
                <w:szCs w:val="28"/>
              </w:rPr>
            </w:pPr>
            <w:r w:rsidRPr="00435FF0">
              <w:rPr>
                <w:rFonts w:eastAsia="黑体"/>
                <w:color w:val="000000"/>
                <w:kern w:val="0"/>
                <w:sz w:val="28"/>
                <w:szCs w:val="28"/>
              </w:rPr>
              <w:t>清理意见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rFonts w:eastAsia="黑体"/>
                <w:color w:val="000000"/>
                <w:kern w:val="0"/>
                <w:sz w:val="28"/>
                <w:szCs w:val="28"/>
              </w:rPr>
            </w:pPr>
            <w:r w:rsidRPr="00435FF0">
              <w:rPr>
                <w:rFonts w:eastAsia="黑体"/>
                <w:color w:val="000000"/>
                <w:kern w:val="0"/>
                <w:sz w:val="28"/>
                <w:szCs w:val="28"/>
              </w:rPr>
              <w:t>公开属性</w:t>
            </w:r>
          </w:p>
        </w:tc>
      </w:tr>
      <w:tr w:rsidR="001F28AF" w:rsidRPr="00435FF0" w:rsidTr="00F96667">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食品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食品药品监管总局关于开展专项监督检查规范食品标签标识的通知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食药监食监一〔</w:t>
            </w:r>
            <w:r w:rsidRPr="003F6750">
              <w:rPr>
                <w:color w:val="000000"/>
                <w:kern w:val="0"/>
                <w:sz w:val="22"/>
              </w:rPr>
              <w:t>2014</w:t>
            </w:r>
            <w:r w:rsidRPr="008027E9">
              <w:rPr>
                <w:color w:val="000000"/>
                <w:kern w:val="0"/>
                <w:sz w:val="22"/>
              </w:rPr>
              <w:t>〕</w:t>
            </w:r>
            <w:r w:rsidRPr="008027E9">
              <w:rPr>
                <w:color w:val="000000"/>
                <w:kern w:val="0"/>
                <w:sz w:val="22"/>
              </w:rPr>
              <w:t>25</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20140326</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食品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食品药品监管总局办公厅关于食品保质期相关问题的复函</w:t>
            </w:r>
          </w:p>
        </w:tc>
        <w:tc>
          <w:tcPr>
            <w:tcW w:w="2693"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435FF0">
              <w:rPr>
                <w:color w:val="000000"/>
                <w:kern w:val="0"/>
                <w:sz w:val="22"/>
              </w:rPr>
              <w:t>食药监办食监一函〔</w:t>
            </w:r>
            <w:r w:rsidRPr="003F6750">
              <w:rPr>
                <w:color w:val="000000"/>
                <w:kern w:val="0"/>
                <w:sz w:val="22"/>
              </w:rPr>
              <w:t>2015</w:t>
            </w:r>
            <w:r w:rsidRPr="00435FF0">
              <w:rPr>
                <w:color w:val="000000"/>
                <w:kern w:val="0"/>
                <w:sz w:val="22"/>
              </w:rPr>
              <w:t>〕</w:t>
            </w:r>
            <w:r w:rsidRPr="003F6750">
              <w:rPr>
                <w:color w:val="000000"/>
                <w:kern w:val="0"/>
                <w:sz w:val="22"/>
              </w:rPr>
              <w:t>554</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8027E9" w:rsidRDefault="001F28AF" w:rsidP="00F96667">
            <w:pPr>
              <w:widowControl/>
              <w:jc w:val="center"/>
              <w:rPr>
                <w:color w:val="000000"/>
                <w:kern w:val="0"/>
                <w:sz w:val="22"/>
              </w:rPr>
            </w:pPr>
            <w:r w:rsidRPr="008027E9">
              <w:rPr>
                <w:color w:val="000000"/>
                <w:kern w:val="0"/>
                <w:sz w:val="22"/>
              </w:rPr>
              <w:t>20150909</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3</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食品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食品药品监管总局关于做好改革过渡期间食品安全许可证发放工作的通知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食药监食监二〔</w:t>
            </w:r>
            <w:r w:rsidRPr="003F6750">
              <w:rPr>
                <w:color w:val="000000"/>
                <w:kern w:val="0"/>
                <w:sz w:val="22"/>
              </w:rPr>
              <w:t>2013</w:t>
            </w:r>
            <w:r w:rsidRPr="008027E9">
              <w:rPr>
                <w:color w:val="000000"/>
                <w:kern w:val="0"/>
                <w:sz w:val="22"/>
              </w:rPr>
              <w:t>〕</w:t>
            </w:r>
            <w:r w:rsidRPr="008027E9">
              <w:rPr>
                <w:color w:val="000000"/>
                <w:kern w:val="0"/>
                <w:sz w:val="22"/>
              </w:rPr>
              <w:t>207</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20131009</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食品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食品药品监管总局关于开展儿童食品和校园及其周边食品安全专项整治工作的通知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食药监食监二〔</w:t>
            </w:r>
            <w:r w:rsidRPr="003F6750">
              <w:rPr>
                <w:color w:val="000000"/>
                <w:kern w:val="0"/>
                <w:sz w:val="22"/>
              </w:rPr>
              <w:t>2014</w:t>
            </w:r>
            <w:r w:rsidRPr="008027E9">
              <w:rPr>
                <w:color w:val="000000"/>
                <w:kern w:val="0"/>
                <w:sz w:val="22"/>
              </w:rPr>
              <w:t>〕</w:t>
            </w:r>
            <w:r w:rsidRPr="008027E9">
              <w:rPr>
                <w:color w:val="000000"/>
                <w:kern w:val="0"/>
                <w:sz w:val="22"/>
              </w:rPr>
              <w:t>158</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20140807</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5</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食品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食品药品监管总局办公厅关于流通环节是否允许销售河豚鱼有关问题的复函</w:t>
            </w:r>
          </w:p>
        </w:tc>
        <w:tc>
          <w:tcPr>
            <w:tcW w:w="2693"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435FF0">
              <w:rPr>
                <w:color w:val="000000"/>
                <w:kern w:val="0"/>
                <w:sz w:val="22"/>
              </w:rPr>
              <w:t>食药监办食监二函〔</w:t>
            </w:r>
            <w:r w:rsidRPr="003F6750">
              <w:rPr>
                <w:color w:val="000000"/>
                <w:kern w:val="0"/>
                <w:sz w:val="22"/>
              </w:rPr>
              <w:t>2015</w:t>
            </w:r>
            <w:r w:rsidRPr="00435FF0">
              <w:rPr>
                <w:color w:val="000000"/>
                <w:kern w:val="0"/>
                <w:sz w:val="22"/>
              </w:rPr>
              <w:t>〕</w:t>
            </w:r>
            <w:r w:rsidRPr="003F6750">
              <w:rPr>
                <w:color w:val="000000"/>
                <w:kern w:val="0"/>
                <w:sz w:val="22"/>
              </w:rPr>
              <w:t>624</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8027E9" w:rsidRDefault="001F28AF" w:rsidP="00F96667">
            <w:pPr>
              <w:widowControl/>
              <w:jc w:val="center"/>
              <w:rPr>
                <w:color w:val="000000"/>
                <w:kern w:val="0"/>
                <w:sz w:val="22"/>
              </w:rPr>
            </w:pPr>
            <w:r w:rsidRPr="008027E9">
              <w:rPr>
                <w:color w:val="000000"/>
                <w:kern w:val="0"/>
                <w:sz w:val="22"/>
              </w:rPr>
              <w:t>20151015</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食品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食品药品监管总局办公厅关于依法查处违法生产经营含破壁灵芝孢子粉产品的通知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食药监办食监三〔</w:t>
            </w:r>
            <w:r w:rsidRPr="003F6750">
              <w:rPr>
                <w:color w:val="000000"/>
                <w:kern w:val="0"/>
                <w:sz w:val="22"/>
              </w:rPr>
              <w:t>2014</w:t>
            </w:r>
            <w:r w:rsidRPr="008027E9">
              <w:rPr>
                <w:color w:val="000000"/>
                <w:kern w:val="0"/>
                <w:sz w:val="22"/>
              </w:rPr>
              <w:t>〕</w:t>
            </w:r>
            <w:r w:rsidRPr="00542A36">
              <w:rPr>
                <w:color w:val="000000"/>
                <w:kern w:val="0"/>
                <w:sz w:val="22"/>
              </w:rPr>
              <w:t>173</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20140912</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食品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食品药品监管总局办公厅关于含何首乌保健食品变更工作有关事宜的通知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435FF0">
              <w:rPr>
                <w:color w:val="000000"/>
                <w:kern w:val="0"/>
                <w:sz w:val="22"/>
              </w:rPr>
              <w:t>食药监办食监三〔</w:t>
            </w:r>
            <w:r w:rsidRPr="00435FF0">
              <w:rPr>
                <w:color w:val="000000"/>
                <w:kern w:val="0"/>
                <w:sz w:val="22"/>
              </w:rPr>
              <w:t>2014</w:t>
            </w:r>
            <w:r w:rsidRPr="00435FF0">
              <w:rPr>
                <w:color w:val="000000"/>
                <w:kern w:val="0"/>
                <w:sz w:val="22"/>
              </w:rPr>
              <w:t>〕</w:t>
            </w:r>
            <w:r w:rsidRPr="003F6750">
              <w:rPr>
                <w:color w:val="000000"/>
                <w:kern w:val="0"/>
                <w:sz w:val="22"/>
              </w:rPr>
              <w:t>181</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8027E9" w:rsidRDefault="001F28AF" w:rsidP="00F96667">
            <w:pPr>
              <w:widowControl/>
              <w:jc w:val="center"/>
              <w:rPr>
                <w:color w:val="000000"/>
                <w:kern w:val="0"/>
                <w:sz w:val="22"/>
              </w:rPr>
            </w:pPr>
            <w:r w:rsidRPr="008027E9">
              <w:rPr>
                <w:color w:val="000000"/>
                <w:kern w:val="0"/>
                <w:sz w:val="22"/>
              </w:rPr>
              <w:t>20140930</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药品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435FF0">
              <w:rPr>
                <w:color w:val="000000"/>
                <w:kern w:val="0"/>
                <w:sz w:val="22"/>
              </w:rPr>
              <w:t>关于</w:t>
            </w:r>
            <w:r w:rsidRPr="003F6750">
              <w:rPr>
                <w:color w:val="000000"/>
                <w:kern w:val="0"/>
                <w:sz w:val="22"/>
              </w:rPr>
              <w:t>2012</w:t>
            </w:r>
            <w:r w:rsidRPr="00435FF0">
              <w:rPr>
                <w:color w:val="000000"/>
                <w:kern w:val="0"/>
                <w:sz w:val="22"/>
              </w:rPr>
              <w:t>年版《国家基本药物目录》药品电子监管实施工作的公告</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8027E9">
              <w:rPr>
                <w:color w:val="000000"/>
                <w:kern w:val="0"/>
                <w:sz w:val="22"/>
              </w:rPr>
              <w:t>2013</w:t>
            </w:r>
            <w:r>
              <w:rPr>
                <w:rFonts w:hint="eastAsia"/>
                <w:color w:val="000000"/>
                <w:kern w:val="0"/>
                <w:sz w:val="22"/>
              </w:rPr>
              <w:t>年第</w:t>
            </w:r>
            <w:r w:rsidRPr="00542A36">
              <w:rPr>
                <w:color w:val="000000"/>
                <w:kern w:val="0"/>
                <w:sz w:val="22"/>
              </w:rPr>
              <w:t>10</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20130509</w:t>
            </w:r>
          </w:p>
        </w:tc>
        <w:tc>
          <w:tcPr>
            <w:tcW w:w="0" w:type="auto"/>
            <w:tcBorders>
              <w:top w:val="nil"/>
              <w:left w:val="nil"/>
              <w:bottom w:val="single" w:sz="4" w:space="0" w:color="auto"/>
              <w:right w:val="nil"/>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药品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食品药品监管总局关于在中国（上海）自由贸易试验区开展进口药品电子监管码赋码物流增值服务试点工作的批复</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食药监药化监函〔</w:t>
            </w:r>
            <w:r w:rsidRPr="003F6750">
              <w:rPr>
                <w:color w:val="000000"/>
                <w:kern w:val="0"/>
                <w:sz w:val="22"/>
              </w:rPr>
              <w:t>2015</w:t>
            </w:r>
            <w:r w:rsidRPr="008027E9">
              <w:rPr>
                <w:color w:val="000000"/>
                <w:kern w:val="0"/>
                <w:sz w:val="22"/>
              </w:rPr>
              <w:t>〕</w:t>
            </w:r>
            <w:r w:rsidRPr="00542A36">
              <w:rPr>
                <w:color w:val="000000"/>
                <w:kern w:val="0"/>
                <w:sz w:val="22"/>
              </w:rPr>
              <w:t>66</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20150511</w:t>
            </w:r>
          </w:p>
        </w:tc>
        <w:tc>
          <w:tcPr>
            <w:tcW w:w="0" w:type="auto"/>
            <w:tcBorders>
              <w:top w:val="nil"/>
              <w:left w:val="nil"/>
              <w:bottom w:val="single" w:sz="4" w:space="0" w:color="auto"/>
              <w:right w:val="nil"/>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药品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食品药品监管总局办公厅关于做好全面实施药品电子监管工作的通知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食药监办药化监〔</w:t>
            </w:r>
            <w:r w:rsidRPr="003F6750">
              <w:rPr>
                <w:color w:val="000000"/>
                <w:kern w:val="0"/>
                <w:sz w:val="22"/>
              </w:rPr>
              <w:t>2015</w:t>
            </w:r>
            <w:r w:rsidRPr="008027E9">
              <w:rPr>
                <w:color w:val="000000"/>
                <w:kern w:val="0"/>
                <w:sz w:val="22"/>
              </w:rPr>
              <w:t>〕</w:t>
            </w:r>
            <w:r w:rsidRPr="008027E9">
              <w:rPr>
                <w:color w:val="000000"/>
                <w:kern w:val="0"/>
                <w:sz w:val="22"/>
              </w:rPr>
              <w:t>2</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20150104</w:t>
            </w:r>
          </w:p>
        </w:tc>
        <w:tc>
          <w:tcPr>
            <w:tcW w:w="0" w:type="auto"/>
            <w:tcBorders>
              <w:top w:val="nil"/>
              <w:left w:val="nil"/>
              <w:bottom w:val="single" w:sz="4" w:space="0" w:color="auto"/>
              <w:right w:val="nil"/>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11</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药品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关于药品生产经营企业全面实施药品电子监管有关事宜的公告</w:t>
            </w:r>
          </w:p>
        </w:tc>
        <w:tc>
          <w:tcPr>
            <w:tcW w:w="2693"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jc w:val="center"/>
              <w:rPr>
                <w:color w:val="000000"/>
                <w:kern w:val="0"/>
                <w:sz w:val="22"/>
              </w:rPr>
            </w:pPr>
            <w:r w:rsidRPr="008027E9">
              <w:rPr>
                <w:color w:val="000000"/>
                <w:kern w:val="0"/>
                <w:sz w:val="22"/>
              </w:rPr>
              <w:t>20150104</w:t>
            </w:r>
          </w:p>
        </w:tc>
        <w:tc>
          <w:tcPr>
            <w:tcW w:w="0" w:type="auto"/>
            <w:tcBorders>
              <w:top w:val="nil"/>
              <w:left w:val="nil"/>
              <w:bottom w:val="single" w:sz="4" w:space="0" w:color="auto"/>
              <w:right w:val="nil"/>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12</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药品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435FF0">
              <w:rPr>
                <w:color w:val="000000"/>
                <w:kern w:val="0"/>
                <w:sz w:val="22"/>
              </w:rPr>
              <w:t>关于发布《药品经营质量管理规范》冷藏、冷冻</w:t>
            </w:r>
            <w:r w:rsidRPr="003F6750">
              <w:rPr>
                <w:color w:val="000000"/>
                <w:kern w:val="0"/>
                <w:sz w:val="22"/>
              </w:rPr>
              <w:t></w:t>
            </w:r>
            <w:r w:rsidRPr="00435FF0">
              <w:rPr>
                <w:color w:val="000000"/>
                <w:kern w:val="0"/>
                <w:sz w:val="22"/>
              </w:rPr>
              <w:t>药品的储存与运输管理等</w:t>
            </w:r>
            <w:r w:rsidRPr="003F6750">
              <w:rPr>
                <w:color w:val="000000"/>
                <w:kern w:val="0"/>
                <w:sz w:val="22"/>
              </w:rPr>
              <w:t>5</w:t>
            </w:r>
            <w:r w:rsidRPr="00435FF0">
              <w:rPr>
                <w:color w:val="000000"/>
                <w:kern w:val="0"/>
                <w:sz w:val="22"/>
              </w:rPr>
              <w:t>个附录的公告</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8027E9">
              <w:rPr>
                <w:color w:val="000000"/>
                <w:kern w:val="0"/>
                <w:sz w:val="22"/>
              </w:rPr>
              <w:t>2013</w:t>
            </w:r>
            <w:r>
              <w:rPr>
                <w:rFonts w:hint="eastAsia"/>
                <w:color w:val="000000"/>
                <w:kern w:val="0"/>
                <w:sz w:val="22"/>
              </w:rPr>
              <w:t>年第</w:t>
            </w:r>
            <w:r w:rsidRPr="00542A36">
              <w:rPr>
                <w:color w:val="000000"/>
                <w:kern w:val="0"/>
                <w:sz w:val="22"/>
              </w:rPr>
              <w:t>38</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20131029</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13</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药品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435FF0">
              <w:rPr>
                <w:color w:val="000000"/>
                <w:kern w:val="0"/>
                <w:sz w:val="22"/>
              </w:rPr>
              <w:t>国家食品药品监督管理总局关于开展</w:t>
            </w:r>
            <w:r w:rsidRPr="003F6750">
              <w:rPr>
                <w:color w:val="000000"/>
                <w:kern w:val="0"/>
                <w:sz w:val="22"/>
              </w:rPr>
              <w:t>“</w:t>
            </w:r>
            <w:r w:rsidRPr="00435FF0">
              <w:rPr>
                <w:color w:val="000000"/>
                <w:kern w:val="0"/>
                <w:sz w:val="22"/>
              </w:rPr>
              <w:t>两打两建</w:t>
            </w:r>
            <w:r w:rsidRPr="003F6750">
              <w:rPr>
                <w:color w:val="000000"/>
                <w:kern w:val="0"/>
                <w:sz w:val="22"/>
              </w:rPr>
              <w:t>”</w:t>
            </w:r>
            <w:r w:rsidRPr="00435FF0">
              <w:rPr>
                <w:color w:val="000000"/>
                <w:kern w:val="0"/>
                <w:sz w:val="22"/>
              </w:rPr>
              <w:t>专项行动着力解决药品安全突出问题的通知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8027E9">
              <w:rPr>
                <w:color w:val="000000"/>
                <w:kern w:val="0"/>
                <w:sz w:val="22"/>
              </w:rPr>
              <w:t>食药监〔</w:t>
            </w:r>
            <w:r w:rsidRPr="008027E9">
              <w:rPr>
                <w:color w:val="000000"/>
                <w:kern w:val="0"/>
                <w:sz w:val="22"/>
              </w:rPr>
              <w:t>2013</w:t>
            </w:r>
            <w:r w:rsidRPr="00542A36">
              <w:rPr>
                <w:color w:val="000000"/>
                <w:kern w:val="0"/>
                <w:sz w:val="22"/>
              </w:rPr>
              <w:t>〕</w:t>
            </w:r>
            <w:r w:rsidRPr="00435FF0">
              <w:rPr>
                <w:color w:val="000000"/>
                <w:kern w:val="0"/>
                <w:sz w:val="22"/>
              </w:rPr>
              <w:t>57</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20130712</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14</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药品</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食品药品监管总局办公厅关于切实加强基层疫苗流通监管工作的通知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食药监办药化监〔</w:t>
            </w:r>
            <w:r w:rsidRPr="003F6750">
              <w:rPr>
                <w:color w:val="000000"/>
                <w:kern w:val="0"/>
                <w:sz w:val="22"/>
              </w:rPr>
              <w:t>2014</w:t>
            </w:r>
            <w:r w:rsidRPr="008027E9">
              <w:rPr>
                <w:color w:val="000000"/>
                <w:kern w:val="0"/>
                <w:sz w:val="22"/>
              </w:rPr>
              <w:t>〕</w:t>
            </w:r>
            <w:r w:rsidRPr="00542A36">
              <w:rPr>
                <w:color w:val="000000"/>
                <w:kern w:val="0"/>
                <w:sz w:val="22"/>
              </w:rPr>
              <w:t>180</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20140926</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15</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关于贯彻实施《医疗器械监督管理条例》有关事项的公告</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2014</w:t>
            </w:r>
            <w:r>
              <w:rPr>
                <w:rFonts w:hint="eastAsia"/>
                <w:color w:val="000000"/>
                <w:kern w:val="0"/>
                <w:sz w:val="22"/>
              </w:rPr>
              <w:t>年第</w:t>
            </w:r>
            <w:r w:rsidRPr="008027E9">
              <w:rPr>
                <w:color w:val="000000"/>
                <w:kern w:val="0"/>
                <w:sz w:val="22"/>
              </w:rPr>
              <w:t>23</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20140523</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16</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国家食品药品监督管理总局关于部分医疗器械变更审批和质量管理体系检查职责调整有关事宜的通知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食药监械管〔</w:t>
            </w:r>
            <w:r w:rsidRPr="003F6750">
              <w:rPr>
                <w:color w:val="000000"/>
                <w:kern w:val="0"/>
                <w:sz w:val="22"/>
              </w:rPr>
              <w:t>2013</w:t>
            </w:r>
            <w:r w:rsidRPr="008027E9">
              <w:rPr>
                <w:color w:val="000000"/>
                <w:kern w:val="0"/>
                <w:sz w:val="22"/>
              </w:rPr>
              <w:t>〕</w:t>
            </w:r>
            <w:r w:rsidRPr="008027E9">
              <w:rPr>
                <w:color w:val="000000"/>
                <w:kern w:val="0"/>
                <w:sz w:val="22"/>
              </w:rPr>
              <w:t>28</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20130621</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8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17</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食品药品监管总局办公厅关于加强医用防护口罩、医用防护服等流感防控医疗器械监管工作的通知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食药监办〔</w:t>
            </w:r>
            <w:r w:rsidRPr="003F6750">
              <w:rPr>
                <w:color w:val="000000"/>
                <w:kern w:val="0"/>
                <w:sz w:val="22"/>
              </w:rPr>
              <w:t>2</w:t>
            </w:r>
            <w:r w:rsidRPr="008027E9">
              <w:rPr>
                <w:color w:val="000000"/>
                <w:kern w:val="0"/>
                <w:sz w:val="22"/>
              </w:rPr>
              <w:t>013</w:t>
            </w:r>
            <w:r w:rsidRPr="008027E9">
              <w:rPr>
                <w:color w:val="000000"/>
                <w:kern w:val="0"/>
                <w:sz w:val="22"/>
              </w:rPr>
              <w:t>〕</w:t>
            </w:r>
            <w:r w:rsidRPr="00542A36">
              <w:rPr>
                <w:color w:val="000000"/>
                <w:kern w:val="0"/>
                <w:sz w:val="22"/>
              </w:rPr>
              <w:t>5</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20130408</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18</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国家食品药品监督管理总局关于印发体外诊断试剂（医疗器械）经营企业验收标准的通知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w:t>
            </w:r>
            <w:r w:rsidRPr="003F6750">
              <w:rPr>
                <w:color w:val="000000"/>
                <w:kern w:val="0"/>
                <w:sz w:val="22"/>
              </w:rPr>
              <w:t>2013</w:t>
            </w:r>
            <w:r w:rsidRPr="008027E9">
              <w:rPr>
                <w:color w:val="000000"/>
                <w:kern w:val="0"/>
                <w:sz w:val="22"/>
              </w:rPr>
              <w:t>〕</w:t>
            </w:r>
            <w:r w:rsidRPr="008027E9">
              <w:rPr>
                <w:color w:val="000000"/>
                <w:kern w:val="0"/>
                <w:sz w:val="22"/>
              </w:rPr>
              <w:t>18</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20130516</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废止</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19</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jc w:val="left"/>
              <w:rPr>
                <w:color w:val="000000"/>
                <w:kern w:val="0"/>
                <w:sz w:val="22"/>
              </w:rPr>
            </w:pPr>
            <w:r w:rsidRPr="00435FF0">
              <w:rPr>
                <w:color w:val="000000"/>
                <w:kern w:val="0"/>
                <w:sz w:val="22"/>
              </w:rPr>
              <w:t>食品药品监管总局关于印发医疗器械</w:t>
            </w:r>
            <w:r w:rsidRPr="003F6750">
              <w:rPr>
                <w:color w:val="000000"/>
                <w:kern w:val="0"/>
                <w:sz w:val="22"/>
              </w:rPr>
              <w:t>"</w:t>
            </w:r>
            <w:r w:rsidRPr="00435FF0">
              <w:rPr>
                <w:color w:val="000000"/>
                <w:kern w:val="0"/>
                <w:sz w:val="22"/>
              </w:rPr>
              <w:t>五整治</w:t>
            </w:r>
            <w:r w:rsidRPr="003F6750">
              <w:rPr>
                <w:color w:val="000000"/>
                <w:kern w:val="0"/>
                <w:sz w:val="22"/>
              </w:rPr>
              <w:t>"</w:t>
            </w:r>
            <w:r w:rsidRPr="00435FF0">
              <w:rPr>
                <w:color w:val="000000"/>
                <w:kern w:val="0"/>
                <w:sz w:val="22"/>
              </w:rPr>
              <w:t>专项行动方案的通知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8027E9">
              <w:rPr>
                <w:color w:val="000000"/>
                <w:kern w:val="0"/>
                <w:sz w:val="22"/>
              </w:rPr>
              <w:t>食药监械监〔</w:t>
            </w:r>
            <w:r w:rsidRPr="008027E9">
              <w:rPr>
                <w:color w:val="000000"/>
                <w:kern w:val="0"/>
                <w:sz w:val="22"/>
              </w:rPr>
              <w:t>2014</w:t>
            </w:r>
            <w:r w:rsidRPr="00542A36">
              <w:rPr>
                <w:color w:val="000000"/>
                <w:kern w:val="0"/>
                <w:sz w:val="22"/>
              </w:rPr>
              <w:t>〕</w:t>
            </w:r>
            <w:r w:rsidRPr="00435FF0">
              <w:rPr>
                <w:color w:val="000000"/>
                <w:kern w:val="0"/>
                <w:sz w:val="22"/>
              </w:rPr>
              <w:t>24</w:t>
            </w:r>
            <w:r w:rsidRPr="00435FF0">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20140313</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lastRenderedPageBreak/>
              <w:t>20</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食品药品监管总局办公厅关于加强高风险医疗器械经营使用关键环节监督检查的通知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食药监办械监〔</w:t>
            </w:r>
            <w:r w:rsidRPr="003F6750">
              <w:rPr>
                <w:color w:val="000000"/>
                <w:kern w:val="0"/>
                <w:sz w:val="22"/>
              </w:rPr>
              <w:t>2014</w:t>
            </w:r>
            <w:r w:rsidRPr="008027E9">
              <w:rPr>
                <w:color w:val="000000"/>
                <w:kern w:val="0"/>
                <w:sz w:val="22"/>
              </w:rPr>
              <w:t>〕</w:t>
            </w:r>
            <w:r w:rsidRPr="008027E9">
              <w:rPr>
                <w:color w:val="000000"/>
                <w:kern w:val="0"/>
                <w:sz w:val="22"/>
              </w:rPr>
              <w:t>59</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20140404</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21</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食品药品监管总局办公厅关于开展注射用透明质酸钠监督检查的通知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食药监办械监〔</w:t>
            </w:r>
            <w:r w:rsidRPr="003F6750">
              <w:rPr>
                <w:color w:val="000000"/>
                <w:kern w:val="0"/>
                <w:sz w:val="22"/>
              </w:rPr>
              <w:t>2014</w:t>
            </w:r>
            <w:r w:rsidRPr="008027E9">
              <w:rPr>
                <w:color w:val="000000"/>
                <w:kern w:val="0"/>
                <w:sz w:val="22"/>
              </w:rPr>
              <w:t>〕</w:t>
            </w:r>
            <w:r w:rsidRPr="008027E9">
              <w:rPr>
                <w:color w:val="000000"/>
                <w:kern w:val="0"/>
                <w:sz w:val="22"/>
              </w:rPr>
              <w:t>80</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20140425</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r w:rsidR="001F28AF" w:rsidRPr="00435FF0" w:rsidTr="00F96667">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22</w:t>
            </w:r>
          </w:p>
        </w:tc>
        <w:tc>
          <w:tcPr>
            <w:tcW w:w="0" w:type="auto"/>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jc w:val="center"/>
              <w:rPr>
                <w:color w:val="000000"/>
                <w:kern w:val="0"/>
                <w:sz w:val="22"/>
              </w:rPr>
            </w:pPr>
            <w:r w:rsidRPr="00435FF0">
              <w:rPr>
                <w:color w:val="000000"/>
                <w:kern w:val="0"/>
                <w:sz w:val="22"/>
              </w:rPr>
              <w:t>医疗</w:t>
            </w:r>
          </w:p>
          <w:p w:rsidR="001F28AF" w:rsidRPr="00435FF0" w:rsidRDefault="001F28AF" w:rsidP="00F96667">
            <w:pPr>
              <w:widowControl/>
              <w:jc w:val="center"/>
              <w:rPr>
                <w:color w:val="000000"/>
                <w:kern w:val="0"/>
                <w:sz w:val="22"/>
              </w:rPr>
            </w:pPr>
            <w:r w:rsidRPr="00435FF0">
              <w:rPr>
                <w:color w:val="000000"/>
                <w:kern w:val="0"/>
                <w:sz w:val="22"/>
              </w:rPr>
              <w:t>器械</w:t>
            </w:r>
          </w:p>
        </w:tc>
        <w:tc>
          <w:tcPr>
            <w:tcW w:w="5527"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435FF0">
              <w:rPr>
                <w:color w:val="000000"/>
                <w:kern w:val="0"/>
                <w:sz w:val="22"/>
              </w:rPr>
              <w:t>食品药品监管总局办公厅关于开展定制式义齿监督检查的通知</w:t>
            </w:r>
          </w:p>
        </w:tc>
        <w:tc>
          <w:tcPr>
            <w:tcW w:w="2693"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left"/>
              <w:rPr>
                <w:color w:val="000000"/>
                <w:kern w:val="0"/>
                <w:sz w:val="22"/>
              </w:rPr>
            </w:pPr>
            <w:r w:rsidRPr="003F6750">
              <w:rPr>
                <w:color w:val="000000"/>
                <w:kern w:val="0"/>
                <w:sz w:val="22"/>
              </w:rPr>
              <w:t>食药监办械监〔</w:t>
            </w:r>
            <w:r w:rsidRPr="003F6750">
              <w:rPr>
                <w:color w:val="000000"/>
                <w:kern w:val="0"/>
                <w:sz w:val="22"/>
              </w:rPr>
              <w:t>2014</w:t>
            </w:r>
            <w:r w:rsidRPr="008027E9">
              <w:rPr>
                <w:color w:val="000000"/>
                <w:kern w:val="0"/>
                <w:sz w:val="22"/>
              </w:rPr>
              <w:t>〕</w:t>
            </w:r>
            <w:r w:rsidRPr="008027E9">
              <w:rPr>
                <w:color w:val="000000"/>
                <w:kern w:val="0"/>
                <w:sz w:val="22"/>
              </w:rPr>
              <w:t>125</w:t>
            </w:r>
            <w:r w:rsidRPr="00542A36">
              <w:rPr>
                <w:color w:val="000000"/>
                <w:kern w:val="0"/>
                <w:sz w:val="22"/>
              </w:rPr>
              <w:t>号</w:t>
            </w:r>
          </w:p>
        </w:tc>
        <w:tc>
          <w:tcPr>
            <w:tcW w:w="1471"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20140626</w:t>
            </w:r>
          </w:p>
        </w:tc>
        <w:tc>
          <w:tcPr>
            <w:tcW w:w="0" w:type="auto"/>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jc w:val="center"/>
              <w:rPr>
                <w:color w:val="000000"/>
                <w:kern w:val="0"/>
                <w:sz w:val="22"/>
              </w:rPr>
            </w:pPr>
            <w:r w:rsidRPr="00435FF0">
              <w:rPr>
                <w:color w:val="000000"/>
                <w:kern w:val="0"/>
                <w:sz w:val="22"/>
              </w:rPr>
              <w:t>宣布失效</w:t>
            </w:r>
          </w:p>
        </w:tc>
        <w:tc>
          <w:tcPr>
            <w:tcW w:w="0" w:type="auto"/>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jc w:val="center"/>
              <w:rPr>
                <w:color w:val="000000"/>
                <w:kern w:val="0"/>
                <w:sz w:val="22"/>
              </w:rPr>
            </w:pPr>
            <w:r w:rsidRPr="00435FF0">
              <w:rPr>
                <w:color w:val="000000"/>
                <w:kern w:val="0"/>
                <w:sz w:val="22"/>
              </w:rPr>
              <w:t>主动公开</w:t>
            </w:r>
          </w:p>
        </w:tc>
      </w:tr>
    </w:tbl>
    <w:p w:rsidR="00E20717" w:rsidRPr="008865E5" w:rsidRDefault="00E20717" w:rsidP="00A0752E">
      <w:pPr>
        <w:jc w:val="left"/>
        <w:rPr>
          <w:rFonts w:eastAsia="仿宋"/>
          <w:sz w:val="28"/>
          <w:szCs w:val="28"/>
        </w:rPr>
      </w:pPr>
    </w:p>
    <w:sectPr w:rsidR="00E20717" w:rsidRPr="008865E5" w:rsidSect="00A0752E">
      <w:footerReference w:type="even" r:id="rId6"/>
      <w:footerReference w:type="default" r:id="rId7"/>
      <w:pgSz w:w="16838" w:h="11906" w:orient="landscape"/>
      <w:pgMar w:top="136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27D" w:rsidRDefault="0006427D" w:rsidP="001F28AF">
      <w:r>
        <w:separator/>
      </w:r>
    </w:p>
  </w:endnote>
  <w:endnote w:type="continuationSeparator" w:id="1">
    <w:p w:rsidR="0006427D" w:rsidRDefault="0006427D" w:rsidP="001F28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AF" w:rsidRPr="000562A1" w:rsidRDefault="001F28AF">
    <w:pPr>
      <w:pStyle w:val="a4"/>
      <w:rPr>
        <w:sz w:val="28"/>
        <w:szCs w:val="28"/>
      </w:rPr>
    </w:pPr>
    <w:r w:rsidRPr="000562A1">
      <w:rPr>
        <w:rFonts w:hint="eastAsia"/>
        <w:color w:val="FFFFFF"/>
        <w:sz w:val="28"/>
        <w:szCs w:val="28"/>
      </w:rPr>
      <w:t>—</w:t>
    </w:r>
    <w:r>
      <w:rPr>
        <w:rFonts w:hint="eastAsia"/>
        <w:sz w:val="28"/>
        <w:szCs w:val="28"/>
      </w:rPr>
      <w:t>—</w:t>
    </w:r>
    <w:r w:rsidR="00C6179A" w:rsidRPr="000562A1">
      <w:rPr>
        <w:sz w:val="28"/>
        <w:szCs w:val="28"/>
      </w:rPr>
      <w:fldChar w:fldCharType="begin"/>
    </w:r>
    <w:r w:rsidRPr="000562A1">
      <w:rPr>
        <w:sz w:val="28"/>
        <w:szCs w:val="28"/>
      </w:rPr>
      <w:instrText>PAGE   \* MERGEFORMAT</w:instrText>
    </w:r>
    <w:r w:rsidR="00C6179A" w:rsidRPr="000562A1">
      <w:rPr>
        <w:sz w:val="28"/>
        <w:szCs w:val="28"/>
      </w:rPr>
      <w:fldChar w:fldCharType="separate"/>
    </w:r>
    <w:r w:rsidRPr="00295336">
      <w:rPr>
        <w:noProof/>
        <w:sz w:val="28"/>
        <w:szCs w:val="28"/>
        <w:lang w:val="zh-CN"/>
      </w:rPr>
      <w:t>22</w:t>
    </w:r>
    <w:r w:rsidR="00C6179A" w:rsidRPr="000562A1">
      <w:rPr>
        <w:sz w:val="28"/>
        <w:szCs w:val="28"/>
      </w:rPr>
      <w:fldChar w:fldCharType="end"/>
    </w:r>
    <w:r>
      <w:rPr>
        <w:rFonts w:hint="eastAsia"/>
        <w:sz w:val="28"/>
        <w:szCs w:val="28"/>
      </w:rPr>
      <w:t>—</w:t>
    </w:r>
  </w:p>
  <w:p w:rsidR="001F28AF" w:rsidRDefault="001F28AF"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AF" w:rsidRPr="000562A1" w:rsidRDefault="001F28AF" w:rsidP="000562A1">
    <w:pPr>
      <w:pStyle w:val="a4"/>
      <w:wordWrap w:val="0"/>
      <w:jc w:val="right"/>
      <w:rPr>
        <w:color w:val="FFFFFF"/>
        <w:sz w:val="28"/>
        <w:szCs w:val="28"/>
      </w:rPr>
    </w:pPr>
    <w:r>
      <w:rPr>
        <w:rFonts w:hint="eastAsia"/>
        <w:sz w:val="28"/>
        <w:szCs w:val="28"/>
      </w:rPr>
      <w:t>—</w:t>
    </w:r>
    <w:r w:rsidR="00C6179A" w:rsidRPr="000562A1">
      <w:rPr>
        <w:sz w:val="28"/>
        <w:szCs w:val="28"/>
      </w:rPr>
      <w:fldChar w:fldCharType="begin"/>
    </w:r>
    <w:r w:rsidRPr="000562A1">
      <w:rPr>
        <w:sz w:val="28"/>
        <w:szCs w:val="28"/>
      </w:rPr>
      <w:instrText>PAGE   \* MERGEFORMAT</w:instrText>
    </w:r>
    <w:r w:rsidR="00C6179A" w:rsidRPr="000562A1">
      <w:rPr>
        <w:sz w:val="28"/>
        <w:szCs w:val="28"/>
      </w:rPr>
      <w:fldChar w:fldCharType="separate"/>
    </w:r>
    <w:r w:rsidR="00A0752E" w:rsidRPr="00A0752E">
      <w:rPr>
        <w:noProof/>
        <w:sz w:val="28"/>
        <w:szCs w:val="28"/>
        <w:lang w:val="zh-CN"/>
      </w:rPr>
      <w:t>1</w:t>
    </w:r>
    <w:r w:rsidR="00C6179A" w:rsidRPr="000562A1">
      <w:rPr>
        <w:sz w:val="28"/>
        <w:szCs w:val="28"/>
      </w:rPr>
      <w:fldChar w:fldCharType="end"/>
    </w:r>
    <w:r>
      <w:rPr>
        <w:rFonts w:hint="eastAsia"/>
        <w:sz w:val="28"/>
        <w:szCs w:val="28"/>
      </w:rPr>
      <w:t>—</w:t>
    </w:r>
    <w:r w:rsidRPr="000562A1">
      <w:rPr>
        <w:rFonts w:hint="eastAsia"/>
        <w:color w:val="FFFFFF"/>
        <w:sz w:val="28"/>
        <w:szCs w:val="28"/>
      </w:rPr>
      <w:t>—</w:t>
    </w:r>
  </w:p>
  <w:p w:rsidR="001F28AF" w:rsidRDefault="001F28AF"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27D" w:rsidRDefault="0006427D" w:rsidP="001F28AF">
      <w:r>
        <w:separator/>
      </w:r>
    </w:p>
  </w:footnote>
  <w:footnote w:type="continuationSeparator" w:id="1">
    <w:p w:rsidR="0006427D" w:rsidRDefault="0006427D" w:rsidP="001F2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B4E"/>
    <w:rsid w:val="0006427D"/>
    <w:rsid w:val="001F28AF"/>
    <w:rsid w:val="006E71A1"/>
    <w:rsid w:val="007B2117"/>
    <w:rsid w:val="00861B4E"/>
    <w:rsid w:val="008865E5"/>
    <w:rsid w:val="00A0752E"/>
    <w:rsid w:val="00C6179A"/>
    <w:rsid w:val="00DC2296"/>
    <w:rsid w:val="00E20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F28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8AF"/>
    <w:rPr>
      <w:sz w:val="18"/>
      <w:szCs w:val="18"/>
    </w:rPr>
  </w:style>
  <w:style w:type="paragraph" w:styleId="a4">
    <w:name w:val="footer"/>
    <w:basedOn w:val="a"/>
    <w:link w:val="Char0"/>
    <w:uiPriority w:val="99"/>
    <w:unhideWhenUsed/>
    <w:rsid w:val="001F28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8AF"/>
    <w:rPr>
      <w:sz w:val="18"/>
      <w:szCs w:val="18"/>
    </w:rPr>
  </w:style>
  <w:style w:type="paragraph" w:styleId="a5">
    <w:name w:val="Document Map"/>
    <w:basedOn w:val="a"/>
    <w:link w:val="Char1"/>
    <w:semiHidden/>
    <w:rsid w:val="001F28AF"/>
    <w:pPr>
      <w:shd w:val="clear" w:color="auto" w:fill="000080"/>
    </w:pPr>
  </w:style>
  <w:style w:type="character" w:customStyle="1" w:styleId="Char1">
    <w:name w:val="文档结构图 Char"/>
    <w:basedOn w:val="a0"/>
    <w:link w:val="a5"/>
    <w:semiHidden/>
    <w:rsid w:val="001F28AF"/>
    <w:rPr>
      <w:rFonts w:ascii="Times New Roman" w:eastAsia="宋体" w:hAnsi="Times New Roman" w:cs="Times New Roman"/>
      <w:szCs w:val="24"/>
      <w:shd w:val="clear" w:color="auto" w:fill="000080"/>
    </w:rPr>
  </w:style>
  <w:style w:type="paragraph" w:styleId="a6">
    <w:name w:val="Balloon Text"/>
    <w:basedOn w:val="a"/>
    <w:link w:val="Char2"/>
    <w:semiHidden/>
    <w:rsid w:val="001F28AF"/>
    <w:rPr>
      <w:sz w:val="18"/>
      <w:szCs w:val="18"/>
    </w:rPr>
  </w:style>
  <w:style w:type="character" w:customStyle="1" w:styleId="Char2">
    <w:name w:val="批注框文本 Char"/>
    <w:basedOn w:val="a0"/>
    <w:link w:val="a6"/>
    <w:semiHidden/>
    <w:rsid w:val="001F28AF"/>
    <w:rPr>
      <w:rFonts w:ascii="Times New Roman" w:eastAsia="宋体" w:hAnsi="Times New Roman" w:cs="Times New Roman"/>
      <w:sz w:val="18"/>
      <w:szCs w:val="18"/>
    </w:rPr>
  </w:style>
  <w:style w:type="character" w:styleId="a7">
    <w:name w:val="page number"/>
    <w:basedOn w:val="a0"/>
    <w:rsid w:val="001F28AF"/>
  </w:style>
  <w:style w:type="paragraph" w:styleId="a8">
    <w:name w:val="No Spacing"/>
    <w:uiPriority w:val="1"/>
    <w:qFormat/>
    <w:rsid w:val="001F28AF"/>
    <w:pPr>
      <w:widowControl w:val="0"/>
      <w:jc w:val="both"/>
    </w:pPr>
    <w:rPr>
      <w:rFonts w:ascii="Times New Roman" w:eastAsia="宋体" w:hAnsi="Times New Roman" w:cs="Times New Roman"/>
      <w:szCs w:val="24"/>
    </w:rPr>
  </w:style>
  <w:style w:type="character" w:styleId="a9">
    <w:name w:val="Hyperlink"/>
    <w:uiPriority w:val="99"/>
    <w:unhideWhenUsed/>
    <w:rsid w:val="001F28AF"/>
    <w:rPr>
      <w:color w:val="0000FF"/>
      <w:u w:val="single"/>
    </w:rPr>
  </w:style>
  <w:style w:type="character" w:styleId="aa">
    <w:name w:val="FollowedHyperlink"/>
    <w:uiPriority w:val="99"/>
    <w:unhideWhenUsed/>
    <w:rsid w:val="001F28AF"/>
    <w:rPr>
      <w:color w:val="800080"/>
      <w:u w:val="single"/>
    </w:rPr>
  </w:style>
  <w:style w:type="paragraph" w:customStyle="1" w:styleId="font5">
    <w:name w:val="font5"/>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F28AF"/>
    <w:pPr>
      <w:widowControl/>
      <w:spacing w:before="100" w:beforeAutospacing="1" w:after="100" w:afterAutospacing="1"/>
      <w:jc w:val="left"/>
    </w:pPr>
    <w:rPr>
      <w:color w:val="000000"/>
      <w:kern w:val="0"/>
      <w:sz w:val="22"/>
      <w:szCs w:val="22"/>
    </w:rPr>
  </w:style>
  <w:style w:type="paragraph" w:customStyle="1" w:styleId="font8">
    <w:name w:val="font8"/>
    <w:basedOn w:val="a"/>
    <w:rsid w:val="001F28AF"/>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1F28AF"/>
    <w:pPr>
      <w:widowControl/>
      <w:spacing w:before="100" w:beforeAutospacing="1" w:after="100" w:afterAutospacing="1"/>
      <w:jc w:val="left"/>
    </w:pPr>
    <w:rPr>
      <w:rFonts w:ascii="方正小标宋简体" w:eastAsia="方正小标宋简体" w:hAnsi="宋体" w:cs="宋体"/>
      <w:color w:val="000000"/>
      <w:kern w:val="0"/>
      <w:sz w:val="44"/>
      <w:szCs w:val="44"/>
    </w:rPr>
  </w:style>
  <w:style w:type="paragraph" w:customStyle="1" w:styleId="font10">
    <w:name w:val="font10"/>
    <w:basedOn w:val="a"/>
    <w:rsid w:val="001F28AF"/>
    <w:pPr>
      <w:widowControl/>
      <w:spacing w:before="100" w:beforeAutospacing="1" w:after="100" w:afterAutospacing="1"/>
      <w:jc w:val="left"/>
    </w:pPr>
    <w:rPr>
      <w:rFonts w:ascii="楷体_GB2312" w:eastAsia="楷体_GB2312" w:hAnsi="宋体" w:cs="宋体"/>
      <w:color w:val="000000"/>
      <w:kern w:val="0"/>
      <w:sz w:val="32"/>
      <w:szCs w:val="32"/>
    </w:rPr>
  </w:style>
  <w:style w:type="paragraph" w:customStyle="1" w:styleId="font11">
    <w:name w:val="font11"/>
    <w:basedOn w:val="a"/>
    <w:rsid w:val="001F28AF"/>
    <w:pPr>
      <w:widowControl/>
      <w:spacing w:before="100" w:beforeAutospacing="1" w:after="100" w:afterAutospacing="1"/>
      <w:jc w:val="left"/>
    </w:pPr>
    <w:rPr>
      <w:color w:val="000000"/>
      <w:kern w:val="0"/>
      <w:sz w:val="32"/>
      <w:szCs w:val="32"/>
    </w:rPr>
  </w:style>
  <w:style w:type="paragraph" w:customStyle="1" w:styleId="font12">
    <w:name w:val="font12"/>
    <w:basedOn w:val="a"/>
    <w:rsid w:val="001F28AF"/>
    <w:pPr>
      <w:widowControl/>
      <w:spacing w:before="100" w:beforeAutospacing="1" w:after="100" w:afterAutospacing="1"/>
      <w:jc w:val="left"/>
    </w:pPr>
    <w:rPr>
      <w:rFonts w:ascii="宋体" w:hAnsi="宋体" w:cs="宋体"/>
      <w:color w:val="000000"/>
      <w:kern w:val="0"/>
      <w:sz w:val="48"/>
      <w:szCs w:val="48"/>
    </w:rPr>
  </w:style>
  <w:style w:type="paragraph" w:customStyle="1" w:styleId="xl63">
    <w:name w:val="xl63"/>
    <w:basedOn w:val="a"/>
    <w:rsid w:val="001F28AF"/>
    <w:pPr>
      <w:widowControl/>
      <w:spacing w:before="100" w:beforeAutospacing="1" w:after="100" w:afterAutospacing="1"/>
      <w:jc w:val="left"/>
    </w:pPr>
    <w:rPr>
      <w:rFonts w:ascii="黑体" w:eastAsia="黑体" w:hAnsi="黑体" w:cs="宋体"/>
      <w:kern w:val="0"/>
      <w:sz w:val="24"/>
    </w:rPr>
  </w:style>
  <w:style w:type="paragraph" w:customStyle="1" w:styleId="xl64">
    <w:name w:val="xl6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5">
    <w:name w:val="xl65"/>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6">
    <w:name w:val="xl6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8">
    <w:name w:val="xl68"/>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1F28AF"/>
    <w:pPr>
      <w:widowControl/>
      <w:spacing w:before="100" w:beforeAutospacing="1" w:after="100" w:afterAutospacing="1"/>
      <w:jc w:val="center"/>
      <w:textAlignment w:val="center"/>
    </w:pPr>
    <w:rPr>
      <w:kern w:val="0"/>
      <w:sz w:val="24"/>
    </w:rPr>
  </w:style>
  <w:style w:type="paragraph" w:customStyle="1" w:styleId="xl72">
    <w:name w:val="xl72"/>
    <w:basedOn w:val="a"/>
    <w:rsid w:val="001F28AF"/>
    <w:pPr>
      <w:widowControl/>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4">
    <w:name w:val="xl7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5">
    <w:name w:val="xl75"/>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6">
    <w:name w:val="xl7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8">
    <w:name w:val="xl78"/>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3">
    <w:name w:val="xl83"/>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1F28AF"/>
    <w:pPr>
      <w:widowControl/>
      <w:spacing w:before="100" w:beforeAutospacing="1" w:after="100" w:afterAutospacing="1"/>
      <w:jc w:val="left"/>
      <w:textAlignment w:val="center"/>
    </w:pPr>
    <w:rPr>
      <w:rFonts w:ascii="黑体" w:eastAsia="黑体" w:hAnsi="黑体" w:cs="宋体"/>
      <w:kern w:val="0"/>
      <w:sz w:val="32"/>
      <w:szCs w:val="32"/>
    </w:rPr>
  </w:style>
  <w:style w:type="paragraph" w:customStyle="1" w:styleId="xl85">
    <w:name w:val="xl85"/>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6">
    <w:name w:val="xl86"/>
    <w:basedOn w:val="a"/>
    <w:rsid w:val="001F28AF"/>
    <w:pPr>
      <w:widowControl/>
      <w:spacing w:before="100" w:beforeAutospacing="1" w:after="100" w:afterAutospacing="1"/>
      <w:jc w:val="center"/>
      <w:textAlignment w:val="center"/>
    </w:pPr>
    <w:rPr>
      <w:kern w:val="0"/>
      <w:sz w:val="48"/>
      <w:szCs w:val="48"/>
    </w:rPr>
  </w:style>
  <w:style w:type="paragraph" w:customStyle="1" w:styleId="xl77">
    <w:name w:val="xl77"/>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87">
    <w:name w:val="xl87"/>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8">
    <w:name w:val="xl88"/>
    <w:basedOn w:val="a"/>
    <w:rsid w:val="001F28AF"/>
    <w:pPr>
      <w:widowControl/>
      <w:spacing w:before="100" w:beforeAutospacing="1" w:after="100" w:afterAutospacing="1"/>
      <w:jc w:val="center"/>
      <w:textAlignment w:val="center"/>
    </w:pPr>
    <w:rPr>
      <w:kern w:val="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F28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8AF"/>
    <w:rPr>
      <w:sz w:val="18"/>
      <w:szCs w:val="18"/>
    </w:rPr>
  </w:style>
  <w:style w:type="paragraph" w:styleId="a4">
    <w:name w:val="footer"/>
    <w:basedOn w:val="a"/>
    <w:link w:val="Char0"/>
    <w:uiPriority w:val="99"/>
    <w:unhideWhenUsed/>
    <w:rsid w:val="001F28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8AF"/>
    <w:rPr>
      <w:sz w:val="18"/>
      <w:szCs w:val="18"/>
    </w:rPr>
  </w:style>
  <w:style w:type="paragraph" w:styleId="a5">
    <w:name w:val="Document Map"/>
    <w:basedOn w:val="a"/>
    <w:link w:val="Char1"/>
    <w:semiHidden/>
    <w:rsid w:val="001F28AF"/>
    <w:pPr>
      <w:shd w:val="clear" w:color="auto" w:fill="000080"/>
    </w:pPr>
  </w:style>
  <w:style w:type="character" w:customStyle="1" w:styleId="Char1">
    <w:name w:val="文档结构图 Char"/>
    <w:basedOn w:val="a0"/>
    <w:link w:val="a5"/>
    <w:semiHidden/>
    <w:rsid w:val="001F28AF"/>
    <w:rPr>
      <w:rFonts w:ascii="Times New Roman" w:eastAsia="宋体" w:hAnsi="Times New Roman" w:cs="Times New Roman"/>
      <w:szCs w:val="24"/>
      <w:shd w:val="clear" w:color="auto" w:fill="000080"/>
    </w:rPr>
  </w:style>
  <w:style w:type="paragraph" w:styleId="a6">
    <w:name w:val="Balloon Text"/>
    <w:basedOn w:val="a"/>
    <w:link w:val="Char2"/>
    <w:semiHidden/>
    <w:rsid w:val="001F28AF"/>
    <w:rPr>
      <w:sz w:val="18"/>
      <w:szCs w:val="18"/>
    </w:rPr>
  </w:style>
  <w:style w:type="character" w:customStyle="1" w:styleId="Char2">
    <w:name w:val="批注框文本 Char"/>
    <w:basedOn w:val="a0"/>
    <w:link w:val="a6"/>
    <w:semiHidden/>
    <w:rsid w:val="001F28AF"/>
    <w:rPr>
      <w:rFonts w:ascii="Times New Roman" w:eastAsia="宋体" w:hAnsi="Times New Roman" w:cs="Times New Roman"/>
      <w:sz w:val="18"/>
      <w:szCs w:val="18"/>
    </w:rPr>
  </w:style>
  <w:style w:type="character" w:styleId="a7">
    <w:name w:val="page number"/>
    <w:basedOn w:val="a0"/>
    <w:rsid w:val="001F28AF"/>
  </w:style>
  <w:style w:type="paragraph" w:styleId="a8">
    <w:name w:val="No Spacing"/>
    <w:uiPriority w:val="1"/>
    <w:qFormat/>
    <w:rsid w:val="001F28AF"/>
    <w:pPr>
      <w:widowControl w:val="0"/>
      <w:jc w:val="both"/>
    </w:pPr>
    <w:rPr>
      <w:rFonts w:ascii="Times New Roman" w:eastAsia="宋体" w:hAnsi="Times New Roman" w:cs="Times New Roman"/>
      <w:szCs w:val="24"/>
    </w:rPr>
  </w:style>
  <w:style w:type="character" w:styleId="a9">
    <w:name w:val="Hyperlink"/>
    <w:uiPriority w:val="99"/>
    <w:unhideWhenUsed/>
    <w:rsid w:val="001F28AF"/>
    <w:rPr>
      <w:color w:val="0000FF"/>
      <w:u w:val="single"/>
    </w:rPr>
  </w:style>
  <w:style w:type="character" w:styleId="aa">
    <w:name w:val="FollowedHyperlink"/>
    <w:uiPriority w:val="99"/>
    <w:unhideWhenUsed/>
    <w:rsid w:val="001F28AF"/>
    <w:rPr>
      <w:color w:val="800080"/>
      <w:u w:val="single"/>
    </w:rPr>
  </w:style>
  <w:style w:type="paragraph" w:customStyle="1" w:styleId="font5">
    <w:name w:val="font5"/>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F28AF"/>
    <w:pPr>
      <w:widowControl/>
      <w:spacing w:before="100" w:beforeAutospacing="1" w:after="100" w:afterAutospacing="1"/>
      <w:jc w:val="left"/>
    </w:pPr>
    <w:rPr>
      <w:color w:val="000000"/>
      <w:kern w:val="0"/>
      <w:sz w:val="22"/>
      <w:szCs w:val="22"/>
    </w:rPr>
  </w:style>
  <w:style w:type="paragraph" w:customStyle="1" w:styleId="font8">
    <w:name w:val="font8"/>
    <w:basedOn w:val="a"/>
    <w:rsid w:val="001F28AF"/>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1F28AF"/>
    <w:pPr>
      <w:widowControl/>
      <w:spacing w:before="100" w:beforeAutospacing="1" w:after="100" w:afterAutospacing="1"/>
      <w:jc w:val="left"/>
    </w:pPr>
    <w:rPr>
      <w:rFonts w:ascii="方正小标宋简体" w:eastAsia="方正小标宋简体" w:hAnsi="宋体" w:cs="宋体"/>
      <w:color w:val="000000"/>
      <w:kern w:val="0"/>
      <w:sz w:val="44"/>
      <w:szCs w:val="44"/>
    </w:rPr>
  </w:style>
  <w:style w:type="paragraph" w:customStyle="1" w:styleId="font10">
    <w:name w:val="font10"/>
    <w:basedOn w:val="a"/>
    <w:rsid w:val="001F28AF"/>
    <w:pPr>
      <w:widowControl/>
      <w:spacing w:before="100" w:beforeAutospacing="1" w:after="100" w:afterAutospacing="1"/>
      <w:jc w:val="left"/>
    </w:pPr>
    <w:rPr>
      <w:rFonts w:ascii="楷体_GB2312" w:eastAsia="楷体_GB2312" w:hAnsi="宋体" w:cs="宋体"/>
      <w:color w:val="000000"/>
      <w:kern w:val="0"/>
      <w:sz w:val="32"/>
      <w:szCs w:val="32"/>
    </w:rPr>
  </w:style>
  <w:style w:type="paragraph" w:customStyle="1" w:styleId="font11">
    <w:name w:val="font11"/>
    <w:basedOn w:val="a"/>
    <w:rsid w:val="001F28AF"/>
    <w:pPr>
      <w:widowControl/>
      <w:spacing w:before="100" w:beforeAutospacing="1" w:after="100" w:afterAutospacing="1"/>
      <w:jc w:val="left"/>
    </w:pPr>
    <w:rPr>
      <w:color w:val="000000"/>
      <w:kern w:val="0"/>
      <w:sz w:val="32"/>
      <w:szCs w:val="32"/>
    </w:rPr>
  </w:style>
  <w:style w:type="paragraph" w:customStyle="1" w:styleId="font12">
    <w:name w:val="font12"/>
    <w:basedOn w:val="a"/>
    <w:rsid w:val="001F28AF"/>
    <w:pPr>
      <w:widowControl/>
      <w:spacing w:before="100" w:beforeAutospacing="1" w:after="100" w:afterAutospacing="1"/>
      <w:jc w:val="left"/>
    </w:pPr>
    <w:rPr>
      <w:rFonts w:ascii="宋体" w:hAnsi="宋体" w:cs="宋体"/>
      <w:color w:val="000000"/>
      <w:kern w:val="0"/>
      <w:sz w:val="48"/>
      <w:szCs w:val="48"/>
    </w:rPr>
  </w:style>
  <w:style w:type="paragraph" w:customStyle="1" w:styleId="xl63">
    <w:name w:val="xl63"/>
    <w:basedOn w:val="a"/>
    <w:rsid w:val="001F28AF"/>
    <w:pPr>
      <w:widowControl/>
      <w:spacing w:before="100" w:beforeAutospacing="1" w:after="100" w:afterAutospacing="1"/>
      <w:jc w:val="left"/>
    </w:pPr>
    <w:rPr>
      <w:rFonts w:ascii="黑体" w:eastAsia="黑体" w:hAnsi="黑体" w:cs="宋体"/>
      <w:kern w:val="0"/>
      <w:sz w:val="24"/>
    </w:rPr>
  </w:style>
  <w:style w:type="paragraph" w:customStyle="1" w:styleId="xl64">
    <w:name w:val="xl6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5">
    <w:name w:val="xl65"/>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6">
    <w:name w:val="xl6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8">
    <w:name w:val="xl68"/>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1F28AF"/>
    <w:pPr>
      <w:widowControl/>
      <w:spacing w:before="100" w:beforeAutospacing="1" w:after="100" w:afterAutospacing="1"/>
      <w:jc w:val="center"/>
      <w:textAlignment w:val="center"/>
    </w:pPr>
    <w:rPr>
      <w:kern w:val="0"/>
      <w:sz w:val="24"/>
    </w:rPr>
  </w:style>
  <w:style w:type="paragraph" w:customStyle="1" w:styleId="xl72">
    <w:name w:val="xl72"/>
    <w:basedOn w:val="a"/>
    <w:rsid w:val="001F28AF"/>
    <w:pPr>
      <w:widowControl/>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4">
    <w:name w:val="xl7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5">
    <w:name w:val="xl75"/>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6">
    <w:name w:val="xl7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8">
    <w:name w:val="xl78"/>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3">
    <w:name w:val="xl83"/>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1F28AF"/>
    <w:pPr>
      <w:widowControl/>
      <w:spacing w:before="100" w:beforeAutospacing="1" w:after="100" w:afterAutospacing="1"/>
      <w:jc w:val="left"/>
      <w:textAlignment w:val="center"/>
    </w:pPr>
    <w:rPr>
      <w:rFonts w:ascii="黑体" w:eastAsia="黑体" w:hAnsi="黑体" w:cs="宋体"/>
      <w:kern w:val="0"/>
      <w:sz w:val="32"/>
      <w:szCs w:val="32"/>
    </w:rPr>
  </w:style>
  <w:style w:type="paragraph" w:customStyle="1" w:styleId="xl85">
    <w:name w:val="xl85"/>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6">
    <w:name w:val="xl86"/>
    <w:basedOn w:val="a"/>
    <w:rsid w:val="001F28AF"/>
    <w:pPr>
      <w:widowControl/>
      <w:spacing w:before="100" w:beforeAutospacing="1" w:after="100" w:afterAutospacing="1"/>
      <w:jc w:val="center"/>
      <w:textAlignment w:val="center"/>
    </w:pPr>
    <w:rPr>
      <w:kern w:val="0"/>
      <w:sz w:val="48"/>
      <w:szCs w:val="48"/>
    </w:rPr>
  </w:style>
  <w:style w:type="paragraph" w:customStyle="1" w:styleId="xl77">
    <w:name w:val="xl77"/>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87">
    <w:name w:val="xl87"/>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8">
    <w:name w:val="xl88"/>
    <w:basedOn w:val="a"/>
    <w:rsid w:val="001F28AF"/>
    <w:pPr>
      <w:widowControl/>
      <w:spacing w:before="100" w:beforeAutospacing="1" w:after="100" w:afterAutospacing="1"/>
      <w:jc w:val="center"/>
      <w:textAlignment w:val="center"/>
    </w:pPr>
    <w:rPr>
      <w:kern w:val="0"/>
      <w:sz w:val="48"/>
      <w:szCs w:val="4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1499</Characters>
  <Application>Microsoft Office Word</Application>
  <DocSecurity>0</DocSecurity>
  <Lines>12</Lines>
  <Paragraphs>3</Paragraphs>
  <ScaleCrop>false</ScaleCrop>
  <Company>CFDA</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2017-03-22T08:22:00Z</dcterms:created>
  <dcterms:modified xsi:type="dcterms:W3CDTF">2017-03-22T08:22:00Z</dcterms:modified>
</cp:coreProperties>
</file>