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CC" w:rsidRPr="005368CC" w:rsidRDefault="005368CC" w:rsidP="005368CC">
      <w:pPr>
        <w:rPr>
          <w:rFonts w:ascii="黑体" w:eastAsia="黑体"/>
          <w:color w:val="000000"/>
          <w:sz w:val="32"/>
          <w:szCs w:val="32"/>
        </w:rPr>
      </w:pPr>
      <w:r w:rsidRPr="005368CC">
        <w:rPr>
          <w:rFonts w:ascii="黑体" w:eastAsia="黑体" w:hint="eastAsia"/>
          <w:color w:val="000000"/>
          <w:sz w:val="32"/>
          <w:szCs w:val="32"/>
        </w:rPr>
        <w:t>附件2</w:t>
      </w:r>
    </w:p>
    <w:p w:rsidR="005368CC" w:rsidRPr="005368CC" w:rsidRDefault="005368CC" w:rsidP="005368CC">
      <w:pPr>
        <w:ind w:leftChars="284" w:left="1876" w:hangingChars="400" w:hanging="1280"/>
        <w:jc w:val="center"/>
        <w:rPr>
          <w:rFonts w:ascii="仿宋_GB2312" w:eastAsia="仿宋_GB2312" w:hAnsi="华文仿宋"/>
          <w:color w:val="000000"/>
          <w:sz w:val="32"/>
          <w:szCs w:val="32"/>
        </w:rPr>
      </w:pPr>
    </w:p>
    <w:p w:rsidR="005368CC" w:rsidRPr="005368CC" w:rsidRDefault="005368CC" w:rsidP="005368CC">
      <w:pPr>
        <w:spacing w:line="640" w:lineRule="exact"/>
        <w:jc w:val="center"/>
        <w:rPr>
          <w:rFonts w:eastAsia="方正小标宋简体"/>
          <w:color w:val="000000"/>
          <w:spacing w:val="-8"/>
          <w:sz w:val="44"/>
          <w:szCs w:val="44"/>
        </w:rPr>
      </w:pPr>
      <w:r w:rsidRPr="005368CC">
        <w:rPr>
          <w:rFonts w:eastAsia="方正小标宋简体"/>
          <w:color w:val="000000"/>
          <w:spacing w:val="-8"/>
          <w:sz w:val="44"/>
          <w:szCs w:val="44"/>
        </w:rPr>
        <w:t>仿制药质量与疗效一致性评价工作中</w:t>
      </w:r>
    </w:p>
    <w:p w:rsidR="005368CC" w:rsidRPr="005368CC" w:rsidRDefault="005368CC" w:rsidP="005368CC">
      <w:pPr>
        <w:spacing w:line="640" w:lineRule="exact"/>
        <w:jc w:val="center"/>
        <w:rPr>
          <w:rFonts w:eastAsia="方正小标宋简体"/>
          <w:color w:val="000000"/>
          <w:spacing w:val="-8"/>
          <w:sz w:val="36"/>
          <w:szCs w:val="36"/>
        </w:rPr>
      </w:pPr>
      <w:r w:rsidRPr="005368CC">
        <w:rPr>
          <w:rFonts w:eastAsia="方正小标宋简体"/>
          <w:color w:val="000000"/>
          <w:spacing w:val="-8"/>
          <w:sz w:val="44"/>
          <w:szCs w:val="44"/>
        </w:rPr>
        <w:t>改剂型药品（口服固体制剂）评价一般考虑</w:t>
      </w:r>
    </w:p>
    <w:p w:rsidR="005368CC" w:rsidRPr="005368CC" w:rsidRDefault="005368CC" w:rsidP="005368CC">
      <w:pPr>
        <w:spacing w:line="560" w:lineRule="exact"/>
        <w:ind w:firstLineChars="200" w:firstLine="560"/>
        <w:jc w:val="center"/>
        <w:rPr>
          <w:rFonts w:eastAsia="仿宋_GB2312"/>
          <w:color w:val="000000"/>
          <w:sz w:val="28"/>
          <w:szCs w:val="28"/>
        </w:rPr>
      </w:pP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为贯彻《国务院关于改革药品医疗器械审评审批制度的意见》（国发〔</w:t>
      </w:r>
      <w:r w:rsidRPr="005368CC">
        <w:rPr>
          <w:rFonts w:eastAsia="仿宋_GB2312"/>
          <w:color w:val="000000"/>
          <w:sz w:val="32"/>
          <w:szCs w:val="32"/>
        </w:rPr>
        <w:t>2015</w:t>
      </w:r>
      <w:r w:rsidRPr="005368CC">
        <w:rPr>
          <w:rFonts w:eastAsia="仿宋_GB2312"/>
          <w:color w:val="000000"/>
          <w:sz w:val="32"/>
          <w:szCs w:val="32"/>
        </w:rPr>
        <w:t>〕</w:t>
      </w:r>
      <w:r w:rsidRPr="005368CC">
        <w:rPr>
          <w:rFonts w:eastAsia="仿宋_GB2312"/>
          <w:color w:val="000000"/>
          <w:sz w:val="32"/>
          <w:szCs w:val="32"/>
        </w:rPr>
        <w:t>44</w:t>
      </w:r>
      <w:r w:rsidRPr="005368CC">
        <w:rPr>
          <w:rFonts w:eastAsia="仿宋_GB2312"/>
          <w:color w:val="000000"/>
          <w:sz w:val="32"/>
          <w:szCs w:val="32"/>
        </w:rPr>
        <w:t>号）和《国务院办公厅关于开展仿制药质量和疗效一致性评价的意见》（国办发〔</w:t>
      </w:r>
      <w:r w:rsidRPr="005368CC">
        <w:rPr>
          <w:rFonts w:eastAsia="仿宋_GB2312"/>
          <w:color w:val="000000"/>
          <w:sz w:val="32"/>
          <w:szCs w:val="32"/>
        </w:rPr>
        <w:t>2016</w:t>
      </w:r>
      <w:r w:rsidRPr="005368CC">
        <w:rPr>
          <w:rFonts w:eastAsia="仿宋_GB2312"/>
          <w:color w:val="000000"/>
          <w:sz w:val="32"/>
          <w:szCs w:val="32"/>
        </w:rPr>
        <w:t>〕</w:t>
      </w:r>
      <w:r w:rsidRPr="005368CC">
        <w:rPr>
          <w:rFonts w:eastAsia="仿宋_GB2312"/>
          <w:color w:val="000000"/>
          <w:sz w:val="32"/>
          <w:szCs w:val="32"/>
        </w:rPr>
        <w:t>8</w:t>
      </w:r>
      <w:r w:rsidRPr="005368CC">
        <w:rPr>
          <w:rFonts w:eastAsia="仿宋_GB2312"/>
          <w:color w:val="000000"/>
          <w:sz w:val="32"/>
          <w:szCs w:val="32"/>
        </w:rPr>
        <w:t>号）的精神，国家食品药品监督管理总局发布了《关于落实〈国务院办公厅关于开展仿制药质量和疗效一致性评价的意见〉有关事项的公告》（</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106</w:t>
      </w:r>
      <w:r w:rsidRPr="005368CC">
        <w:rPr>
          <w:rFonts w:eastAsia="仿宋_GB2312"/>
          <w:color w:val="000000"/>
          <w:sz w:val="32"/>
          <w:szCs w:val="32"/>
        </w:rPr>
        <w:t>号）和《普通口服固体制剂参比制剂选择和确定指导原则》（</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61</w:t>
      </w:r>
      <w:r w:rsidRPr="005368CC">
        <w:rPr>
          <w:rFonts w:eastAsia="仿宋_GB2312"/>
          <w:color w:val="000000"/>
          <w:sz w:val="32"/>
          <w:szCs w:val="32"/>
        </w:rPr>
        <w:t>号通告）等多个技术指导原则，本文是上述指导原则的补充文件。</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改剂型药品是指该剂型在美国、欧盟或日本均未获准上市，或无法确定同剂型参比制剂的药品。</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本文件适用于仿制药质量和疗效一致性评价工作中口服固体制剂改剂型且不显著改变给药途径药品的评价。评价工作包括但不限于本文件中描述的内容。</w:t>
      </w:r>
    </w:p>
    <w:p w:rsidR="005368CC" w:rsidRPr="005368CC" w:rsidRDefault="005368CC" w:rsidP="005368CC">
      <w:pPr>
        <w:spacing w:line="620" w:lineRule="exact"/>
        <w:ind w:firstLineChars="200" w:firstLine="640"/>
        <w:rPr>
          <w:rFonts w:ascii="黑体" w:eastAsia="黑体" w:hAnsi="黑体"/>
          <w:color w:val="000000"/>
          <w:sz w:val="32"/>
          <w:szCs w:val="32"/>
        </w:rPr>
      </w:pPr>
      <w:r w:rsidRPr="005368CC">
        <w:rPr>
          <w:rFonts w:ascii="黑体" w:eastAsia="黑体" w:hAnsi="黑体"/>
          <w:color w:val="000000"/>
          <w:sz w:val="32"/>
          <w:szCs w:val="32"/>
        </w:rPr>
        <w:t>一、概述</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口服固体制剂改剂型药品，从药代动力学角度可分为不显著</w:t>
      </w:r>
      <w:r w:rsidRPr="005368CC">
        <w:rPr>
          <w:rFonts w:eastAsia="仿宋_GB2312"/>
          <w:color w:val="000000"/>
          <w:sz w:val="32"/>
          <w:szCs w:val="32"/>
        </w:rPr>
        <w:lastRenderedPageBreak/>
        <w:t>改变药代动力学行为和显著改变药代动力学行为两类。</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本文件所指的不显著改变药代动力学行为的改变剂型，如：片剂、胶囊剂、干混悬剂和颗粒剂等剂型间的改变；显著改变药代动力学行为的改变剂型，如：普通口服固体制剂改为缓控释制剂</w:t>
      </w:r>
      <w:bookmarkStart w:id="0" w:name="OLE_LINK11"/>
      <w:bookmarkStart w:id="1" w:name="OLE_LINK12"/>
      <w:r w:rsidRPr="005368CC">
        <w:rPr>
          <w:rFonts w:eastAsia="仿宋_GB2312"/>
          <w:color w:val="000000"/>
          <w:sz w:val="32"/>
          <w:szCs w:val="32"/>
        </w:rPr>
        <w:t>等剂型间的改变。</w:t>
      </w:r>
      <w:bookmarkEnd w:id="0"/>
      <w:bookmarkEnd w:id="1"/>
    </w:p>
    <w:p w:rsidR="005368CC" w:rsidRPr="005368CC" w:rsidRDefault="005368CC" w:rsidP="005368CC">
      <w:pPr>
        <w:spacing w:line="620" w:lineRule="exact"/>
        <w:ind w:firstLineChars="200" w:firstLine="640"/>
        <w:rPr>
          <w:rFonts w:ascii="黑体" w:eastAsia="黑体" w:hAnsi="黑体"/>
          <w:color w:val="000000"/>
          <w:sz w:val="32"/>
          <w:szCs w:val="32"/>
        </w:rPr>
      </w:pPr>
      <w:r w:rsidRPr="005368CC">
        <w:rPr>
          <w:rFonts w:ascii="黑体" w:eastAsia="黑体" w:hAnsi="黑体"/>
          <w:color w:val="000000"/>
          <w:sz w:val="32"/>
          <w:szCs w:val="32"/>
        </w:rPr>
        <w:t>二、评价内容</w:t>
      </w:r>
    </w:p>
    <w:p w:rsidR="005368CC" w:rsidRPr="005368CC" w:rsidRDefault="005368CC" w:rsidP="005368CC">
      <w:pPr>
        <w:spacing w:line="620" w:lineRule="exact"/>
        <w:ind w:firstLineChars="200" w:firstLine="640"/>
        <w:rPr>
          <w:rFonts w:ascii="楷体_GB2312" w:eastAsia="楷体_GB2312"/>
          <w:color w:val="000000"/>
          <w:sz w:val="32"/>
          <w:szCs w:val="32"/>
        </w:rPr>
      </w:pPr>
      <w:r w:rsidRPr="005368CC">
        <w:rPr>
          <w:rFonts w:ascii="楷体_GB2312" w:eastAsia="楷体_GB2312" w:hint="eastAsia"/>
          <w:color w:val="000000"/>
          <w:sz w:val="32"/>
          <w:szCs w:val="32"/>
        </w:rPr>
        <w:t>（一）改剂型的科学性和合理性</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从药物的理化性质、生物学性质、临床需要、患者的依从性、药物经济学、与原研剂型参比制剂的优劣比较等方面分析论证改剂型药品的科学性、合理性和必要性。</w:t>
      </w:r>
    </w:p>
    <w:p w:rsidR="005368CC" w:rsidRPr="005368CC" w:rsidRDefault="005368CC" w:rsidP="005368CC">
      <w:pPr>
        <w:spacing w:line="620" w:lineRule="exact"/>
        <w:ind w:firstLineChars="200" w:firstLine="640"/>
        <w:rPr>
          <w:rFonts w:ascii="楷体_GB2312" w:eastAsia="楷体_GB2312"/>
          <w:color w:val="000000"/>
          <w:sz w:val="32"/>
          <w:szCs w:val="32"/>
        </w:rPr>
      </w:pPr>
      <w:r w:rsidRPr="005368CC">
        <w:rPr>
          <w:rFonts w:ascii="楷体_GB2312" w:eastAsia="楷体_GB2312"/>
          <w:color w:val="000000"/>
          <w:sz w:val="32"/>
          <w:szCs w:val="32"/>
        </w:rPr>
        <w:t>（二）药学评价</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与原研剂型参比制剂系统进行对比试验，评价两者的异同与优劣。改剂型药品质量应与原研剂型参比制剂质量相当。评价内容主要包括以下几个方面：</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1.</w:t>
      </w:r>
      <w:r w:rsidRPr="005368CC">
        <w:rPr>
          <w:rFonts w:eastAsia="仿宋_GB2312"/>
          <w:color w:val="000000"/>
          <w:sz w:val="32"/>
          <w:szCs w:val="32"/>
        </w:rPr>
        <w:t>处方筛选与工艺优化：对照原研剂型参比制剂与所改剂型的要求，进行处方筛选、生产工艺优化，包装材料选择与验证。</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2.</w:t>
      </w:r>
      <w:r w:rsidRPr="005368CC">
        <w:rPr>
          <w:rFonts w:eastAsia="仿宋_GB2312"/>
          <w:color w:val="000000"/>
          <w:sz w:val="32"/>
          <w:szCs w:val="32"/>
        </w:rPr>
        <w:t>原辅料的控制：</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w:t>
      </w:r>
      <w:r w:rsidRPr="005368CC">
        <w:rPr>
          <w:rFonts w:eastAsia="仿宋_GB2312"/>
          <w:color w:val="000000"/>
          <w:sz w:val="32"/>
          <w:szCs w:val="32"/>
        </w:rPr>
        <w:t>1</w:t>
      </w:r>
      <w:r w:rsidRPr="005368CC">
        <w:rPr>
          <w:rFonts w:eastAsia="仿宋_GB2312"/>
          <w:color w:val="000000"/>
          <w:sz w:val="32"/>
          <w:szCs w:val="32"/>
        </w:rPr>
        <w:t>）分析检测原料药的关键理化特性（如：晶型、不同</w:t>
      </w:r>
      <w:r w:rsidRPr="005368CC">
        <w:rPr>
          <w:rFonts w:eastAsia="仿宋_GB2312"/>
          <w:color w:val="000000"/>
          <w:sz w:val="32"/>
          <w:szCs w:val="32"/>
        </w:rPr>
        <w:t>pH</w:t>
      </w:r>
      <w:r w:rsidRPr="005368CC">
        <w:rPr>
          <w:rFonts w:eastAsia="仿宋_GB2312"/>
          <w:color w:val="000000"/>
          <w:sz w:val="32"/>
          <w:szCs w:val="32"/>
        </w:rPr>
        <w:t>条件下溶解度、粒度与粒度分布、</w:t>
      </w:r>
      <w:r w:rsidRPr="005368CC">
        <w:rPr>
          <w:rFonts w:eastAsia="仿宋_GB2312"/>
          <w:color w:val="000000"/>
          <w:sz w:val="32"/>
          <w:szCs w:val="32"/>
        </w:rPr>
        <w:t>pKa</w:t>
      </w:r>
      <w:r w:rsidRPr="005368CC">
        <w:rPr>
          <w:rFonts w:eastAsia="仿宋_GB2312"/>
          <w:color w:val="000000"/>
          <w:sz w:val="32"/>
          <w:szCs w:val="32"/>
        </w:rPr>
        <w:t>、</w:t>
      </w:r>
      <w:r w:rsidRPr="005368CC">
        <w:rPr>
          <w:rFonts w:eastAsia="仿宋_GB2312"/>
          <w:color w:val="000000"/>
          <w:sz w:val="32"/>
          <w:szCs w:val="32"/>
        </w:rPr>
        <w:t>logP</w:t>
      </w:r>
      <w:r w:rsidRPr="005368CC">
        <w:rPr>
          <w:rFonts w:eastAsia="仿宋_GB2312"/>
          <w:color w:val="000000"/>
          <w:sz w:val="32"/>
          <w:szCs w:val="32"/>
        </w:rPr>
        <w:t>等）；原料药和辅料的相容性试验及结果。</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lastRenderedPageBreak/>
        <w:t>（</w:t>
      </w:r>
      <w:r w:rsidRPr="005368CC">
        <w:rPr>
          <w:rFonts w:eastAsia="仿宋_GB2312"/>
          <w:color w:val="000000"/>
          <w:sz w:val="32"/>
          <w:szCs w:val="32"/>
        </w:rPr>
        <w:t>2</w:t>
      </w:r>
      <w:r w:rsidRPr="005368CC">
        <w:rPr>
          <w:rFonts w:eastAsia="仿宋_GB2312"/>
          <w:color w:val="000000"/>
          <w:sz w:val="32"/>
          <w:szCs w:val="32"/>
        </w:rPr>
        <w:t>）分析检测辅料与制剂性能相关的关键特性。</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3.</w:t>
      </w:r>
      <w:r w:rsidRPr="005368CC">
        <w:rPr>
          <w:rFonts w:eastAsia="仿宋_GB2312"/>
          <w:color w:val="000000"/>
          <w:sz w:val="32"/>
          <w:szCs w:val="32"/>
        </w:rPr>
        <w:t>质量控制：系统分析比较与原研剂型参比制剂质量差异。重点关注：药物在多介质中的溶出曲线；杂质谱与杂质含量，如有新增杂质应进行结构确证、杂质定量测定与毒性水平研究；反映剂型特点的其他关键项目。</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4.</w:t>
      </w:r>
      <w:r w:rsidRPr="005368CC">
        <w:rPr>
          <w:rFonts w:eastAsia="仿宋_GB2312"/>
          <w:color w:val="000000"/>
          <w:sz w:val="32"/>
          <w:szCs w:val="32"/>
        </w:rPr>
        <w:t>稳定性试验：重点关注性状、溶出曲线、有关物质（特别是新增杂质）、含量测定等项目。</w:t>
      </w:r>
    </w:p>
    <w:p w:rsidR="005368CC" w:rsidRPr="005368CC" w:rsidRDefault="005368CC" w:rsidP="005368CC">
      <w:pPr>
        <w:spacing w:line="620" w:lineRule="exact"/>
        <w:ind w:firstLineChars="200" w:firstLine="640"/>
        <w:rPr>
          <w:rFonts w:ascii="楷体_GB2312" w:eastAsia="楷体_GB2312"/>
          <w:color w:val="000000"/>
          <w:sz w:val="32"/>
          <w:szCs w:val="32"/>
        </w:rPr>
      </w:pPr>
      <w:r w:rsidRPr="005368CC">
        <w:rPr>
          <w:rFonts w:ascii="楷体_GB2312" w:eastAsia="楷体_GB2312"/>
          <w:color w:val="000000"/>
          <w:sz w:val="32"/>
          <w:szCs w:val="32"/>
        </w:rPr>
        <w:t>（三）生物等效性试验或临床试验</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以生物等效为立题依据且不显著改变药代动力学行为的改剂型药品，应与原研剂型参比制剂进行生物等效性试验。</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改变药代动力学行为的改剂型药品，建议与原研剂型参比制剂进行相对生物利用度研究及临床试验。</w:t>
      </w:r>
    </w:p>
    <w:p w:rsidR="005368CC" w:rsidRPr="005368CC" w:rsidRDefault="005368CC" w:rsidP="005368CC">
      <w:pPr>
        <w:spacing w:line="620" w:lineRule="exact"/>
        <w:ind w:firstLineChars="200" w:firstLine="640"/>
        <w:rPr>
          <w:rFonts w:ascii="黑体" w:eastAsia="黑体" w:hAnsi="黑体"/>
          <w:color w:val="000000"/>
          <w:sz w:val="32"/>
          <w:szCs w:val="32"/>
        </w:rPr>
      </w:pPr>
      <w:r w:rsidRPr="005368CC">
        <w:rPr>
          <w:rFonts w:ascii="黑体" w:eastAsia="黑体" w:hAnsi="黑体"/>
          <w:color w:val="000000"/>
          <w:sz w:val="32"/>
          <w:szCs w:val="32"/>
        </w:rPr>
        <w:t>三、其他</w:t>
      </w:r>
    </w:p>
    <w:p w:rsidR="005368CC" w:rsidRPr="005368CC" w:rsidRDefault="005368CC" w:rsidP="005368CC">
      <w:pPr>
        <w:spacing w:line="620" w:lineRule="exact"/>
        <w:ind w:firstLineChars="200" w:firstLine="640"/>
        <w:rPr>
          <w:rFonts w:eastAsia="仿宋_GB2312"/>
          <w:color w:val="000000"/>
          <w:sz w:val="32"/>
          <w:szCs w:val="32"/>
        </w:rPr>
      </w:pPr>
      <w:r w:rsidRPr="005368CC">
        <w:rPr>
          <w:rFonts w:eastAsia="仿宋_GB2312"/>
          <w:color w:val="000000"/>
          <w:sz w:val="32"/>
          <w:szCs w:val="32"/>
        </w:rPr>
        <w:t>其他未尽事宜请参照国家食品药品监督管理总局《关于发布化学药品新注册分类申报资料要求（试行）的通告》（</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80</w:t>
      </w:r>
      <w:r w:rsidRPr="005368CC">
        <w:rPr>
          <w:rFonts w:eastAsia="仿宋_GB2312"/>
          <w:color w:val="000000"/>
          <w:sz w:val="32"/>
          <w:szCs w:val="32"/>
        </w:rPr>
        <w:t>号）、《关于发布化学药品仿制药口服固体制剂质量和疗效一致性评价申报资料要求（试行）的通告》（</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120</w:t>
      </w:r>
      <w:r w:rsidRPr="005368CC">
        <w:rPr>
          <w:rFonts w:eastAsia="仿宋_GB2312"/>
          <w:color w:val="000000"/>
          <w:sz w:val="32"/>
          <w:szCs w:val="32"/>
        </w:rPr>
        <w:t>号通告）、《以药动学参数为终点评价指标的化学药物仿制药人体生物等效性研究技术指导原则》（</w:t>
      </w:r>
      <w:r w:rsidRPr="005368CC">
        <w:rPr>
          <w:rFonts w:eastAsia="仿宋_GB2312"/>
          <w:color w:val="000000"/>
          <w:sz w:val="32"/>
          <w:szCs w:val="32"/>
        </w:rPr>
        <w:t>2016</w:t>
      </w:r>
      <w:r w:rsidRPr="005368CC">
        <w:rPr>
          <w:rFonts w:eastAsia="仿宋_GB2312"/>
          <w:color w:val="000000"/>
          <w:sz w:val="32"/>
          <w:szCs w:val="32"/>
        </w:rPr>
        <w:t>年第</w:t>
      </w:r>
      <w:r w:rsidRPr="005368CC">
        <w:rPr>
          <w:rFonts w:eastAsia="仿宋_GB2312"/>
          <w:color w:val="000000"/>
          <w:sz w:val="32"/>
          <w:szCs w:val="32"/>
        </w:rPr>
        <w:t>61</w:t>
      </w:r>
      <w:r w:rsidRPr="005368CC">
        <w:rPr>
          <w:rFonts w:eastAsia="仿宋_GB2312"/>
          <w:color w:val="000000"/>
          <w:sz w:val="32"/>
          <w:szCs w:val="32"/>
        </w:rPr>
        <w:t>号通告）和《仿制药质量和疗效一致性评价临床有效性试验一般考虑》（</w:t>
      </w:r>
      <w:r w:rsidRPr="005368CC">
        <w:rPr>
          <w:rFonts w:eastAsia="仿宋_GB2312"/>
          <w:color w:val="000000"/>
          <w:sz w:val="32"/>
          <w:szCs w:val="32"/>
        </w:rPr>
        <w:t>2017</w:t>
      </w:r>
      <w:r w:rsidRPr="005368CC">
        <w:rPr>
          <w:rFonts w:eastAsia="仿宋_GB2312"/>
          <w:color w:val="000000"/>
          <w:sz w:val="32"/>
          <w:szCs w:val="32"/>
        </w:rPr>
        <w:t>年第</w:t>
      </w:r>
      <w:r w:rsidRPr="005368CC">
        <w:rPr>
          <w:rFonts w:eastAsia="仿宋_GB2312"/>
          <w:color w:val="000000"/>
          <w:sz w:val="32"/>
          <w:szCs w:val="32"/>
        </w:rPr>
        <w:t>18</w:t>
      </w:r>
      <w:r w:rsidRPr="005368CC">
        <w:rPr>
          <w:rFonts w:eastAsia="仿宋_GB2312"/>
          <w:color w:val="000000"/>
          <w:sz w:val="32"/>
          <w:szCs w:val="32"/>
        </w:rPr>
        <w:lastRenderedPageBreak/>
        <w:t>号通告）等有关文件进行。</w:t>
      </w:r>
    </w:p>
    <w:sectPr w:rsidR="005368CC" w:rsidRPr="005368CC" w:rsidSect="00AB2821">
      <w:footerReference w:type="even" r:id="rId6"/>
      <w:footerReference w:type="default" r:id="rId7"/>
      <w:pgSz w:w="11906" w:h="16838"/>
      <w:pgMar w:top="1928" w:right="1531" w:bottom="181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3F7" w:rsidRDefault="00F313F7" w:rsidP="005368CC">
      <w:r>
        <w:separator/>
      </w:r>
    </w:p>
  </w:endnote>
  <w:endnote w:type="continuationSeparator" w:id="1">
    <w:p w:rsidR="00F313F7" w:rsidRDefault="00F313F7" w:rsidP="005368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25" w:rsidRPr="00AB2821" w:rsidRDefault="006A3982">
    <w:pPr>
      <w:pStyle w:val="a4"/>
      <w:rPr>
        <w:sz w:val="28"/>
        <w:szCs w:val="28"/>
      </w:rPr>
    </w:pPr>
    <w:r w:rsidRPr="00AB2821">
      <w:rPr>
        <w:rFonts w:hint="eastAsia"/>
        <w:color w:val="FFFFFF"/>
        <w:sz w:val="28"/>
        <w:szCs w:val="28"/>
      </w:rPr>
      <w:t>—</w:t>
    </w:r>
    <w:r w:rsidRPr="00AB2821">
      <w:rPr>
        <w:rFonts w:hint="eastAsia"/>
        <w:sz w:val="28"/>
        <w:szCs w:val="28"/>
      </w:rPr>
      <w:t>—</w:t>
    </w:r>
    <w:r w:rsidR="006E7C00" w:rsidRPr="00AB2821">
      <w:rPr>
        <w:sz w:val="28"/>
        <w:szCs w:val="28"/>
      </w:rPr>
      <w:fldChar w:fldCharType="begin"/>
    </w:r>
    <w:r w:rsidRPr="00AB2821">
      <w:rPr>
        <w:sz w:val="28"/>
        <w:szCs w:val="28"/>
      </w:rPr>
      <w:instrText>PAGE   \* MERGEFORMAT</w:instrText>
    </w:r>
    <w:r w:rsidR="006E7C00" w:rsidRPr="00AB2821">
      <w:rPr>
        <w:sz w:val="28"/>
        <w:szCs w:val="28"/>
      </w:rPr>
      <w:fldChar w:fldCharType="separate"/>
    </w:r>
    <w:r w:rsidRPr="0024751C">
      <w:rPr>
        <w:noProof/>
        <w:sz w:val="28"/>
        <w:szCs w:val="28"/>
        <w:lang w:val="zh-CN"/>
      </w:rPr>
      <w:t>2</w:t>
    </w:r>
    <w:r w:rsidR="006E7C00" w:rsidRPr="00AB2821">
      <w:rPr>
        <w:sz w:val="28"/>
        <w:szCs w:val="28"/>
      </w:rPr>
      <w:fldChar w:fldCharType="end"/>
    </w:r>
    <w:r w:rsidRPr="00AB2821">
      <w:rPr>
        <w:rFonts w:hint="eastAsia"/>
        <w:sz w:val="28"/>
        <w:szCs w:val="28"/>
      </w:rPr>
      <w:t>—</w:t>
    </w:r>
  </w:p>
  <w:p w:rsidR="00A73EB3" w:rsidRDefault="00F313F7" w:rsidP="00A73EB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25" w:rsidRPr="00AB2821" w:rsidRDefault="006A3982" w:rsidP="00AB2821">
    <w:pPr>
      <w:pStyle w:val="a4"/>
      <w:wordWrap w:val="0"/>
      <w:jc w:val="right"/>
      <w:rPr>
        <w:sz w:val="28"/>
        <w:szCs w:val="28"/>
      </w:rPr>
    </w:pPr>
    <w:r w:rsidRPr="00AB2821">
      <w:rPr>
        <w:rFonts w:hint="eastAsia"/>
        <w:sz w:val="28"/>
        <w:szCs w:val="28"/>
      </w:rPr>
      <w:t>—</w:t>
    </w:r>
    <w:r w:rsidR="006E7C00" w:rsidRPr="00AB2821">
      <w:rPr>
        <w:sz w:val="28"/>
        <w:szCs w:val="28"/>
      </w:rPr>
      <w:fldChar w:fldCharType="begin"/>
    </w:r>
    <w:r w:rsidRPr="00AB2821">
      <w:rPr>
        <w:sz w:val="28"/>
        <w:szCs w:val="28"/>
      </w:rPr>
      <w:instrText>PAGE   \* MERGEFORMAT</w:instrText>
    </w:r>
    <w:r w:rsidR="006E7C00" w:rsidRPr="00AB2821">
      <w:rPr>
        <w:sz w:val="28"/>
        <w:szCs w:val="28"/>
      </w:rPr>
      <w:fldChar w:fldCharType="separate"/>
    </w:r>
    <w:r w:rsidR="004905D9" w:rsidRPr="004905D9">
      <w:rPr>
        <w:noProof/>
        <w:sz w:val="28"/>
        <w:szCs w:val="28"/>
        <w:lang w:val="zh-CN"/>
      </w:rPr>
      <w:t>2</w:t>
    </w:r>
    <w:r w:rsidR="006E7C00" w:rsidRPr="00AB2821">
      <w:rPr>
        <w:sz w:val="28"/>
        <w:szCs w:val="28"/>
      </w:rPr>
      <w:fldChar w:fldCharType="end"/>
    </w:r>
    <w:r w:rsidRPr="00AB2821">
      <w:rPr>
        <w:rFonts w:hint="eastAsia"/>
        <w:sz w:val="28"/>
        <w:szCs w:val="28"/>
      </w:rPr>
      <w:t>—</w:t>
    </w:r>
    <w:r w:rsidRPr="00AB2821">
      <w:rPr>
        <w:rFonts w:hint="eastAsia"/>
        <w:color w:val="FFFFFF"/>
        <w:sz w:val="28"/>
        <w:szCs w:val="28"/>
      </w:rPr>
      <w:t>—</w:t>
    </w:r>
  </w:p>
  <w:p w:rsidR="00A73EB3" w:rsidRPr="00AB2821" w:rsidRDefault="00F313F7" w:rsidP="00AB2821">
    <w:pPr>
      <w:pStyle w:val="a4"/>
      <w:wordWrap w:val="0"/>
      <w:ind w:right="360" w:firstLine="36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3F7" w:rsidRDefault="00F313F7" w:rsidP="005368CC">
      <w:r>
        <w:separator/>
      </w:r>
    </w:p>
  </w:footnote>
  <w:footnote w:type="continuationSeparator" w:id="1">
    <w:p w:rsidR="00F313F7" w:rsidRDefault="00F313F7" w:rsidP="005368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368"/>
    <w:rsid w:val="003C66B1"/>
    <w:rsid w:val="00463482"/>
    <w:rsid w:val="004905D9"/>
    <w:rsid w:val="005368CC"/>
    <w:rsid w:val="006A3982"/>
    <w:rsid w:val="006E7C00"/>
    <w:rsid w:val="00794368"/>
    <w:rsid w:val="00F313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8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68CC"/>
    <w:rPr>
      <w:sz w:val="18"/>
      <w:szCs w:val="18"/>
    </w:rPr>
  </w:style>
  <w:style w:type="paragraph" w:styleId="a4">
    <w:name w:val="footer"/>
    <w:basedOn w:val="a"/>
    <w:link w:val="Char0"/>
    <w:uiPriority w:val="99"/>
    <w:unhideWhenUsed/>
    <w:rsid w:val="005368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8CC"/>
    <w:rPr>
      <w:sz w:val="18"/>
      <w:szCs w:val="18"/>
    </w:rPr>
  </w:style>
  <w:style w:type="paragraph" w:styleId="a5">
    <w:name w:val="Balloon Text"/>
    <w:basedOn w:val="a"/>
    <w:link w:val="Char1"/>
    <w:uiPriority w:val="99"/>
    <w:semiHidden/>
    <w:unhideWhenUsed/>
    <w:rsid w:val="005368CC"/>
    <w:rPr>
      <w:sz w:val="18"/>
      <w:szCs w:val="18"/>
    </w:rPr>
  </w:style>
  <w:style w:type="character" w:customStyle="1" w:styleId="Char1">
    <w:name w:val="批注框文本 Char"/>
    <w:basedOn w:val="a0"/>
    <w:link w:val="a5"/>
    <w:uiPriority w:val="99"/>
    <w:semiHidden/>
    <w:rsid w:val="005368C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8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68CC"/>
    <w:rPr>
      <w:sz w:val="18"/>
      <w:szCs w:val="18"/>
    </w:rPr>
  </w:style>
  <w:style w:type="paragraph" w:styleId="a4">
    <w:name w:val="footer"/>
    <w:basedOn w:val="a"/>
    <w:link w:val="Char0"/>
    <w:uiPriority w:val="99"/>
    <w:unhideWhenUsed/>
    <w:rsid w:val="005368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68CC"/>
    <w:rPr>
      <w:sz w:val="18"/>
      <w:szCs w:val="18"/>
    </w:rPr>
  </w:style>
  <w:style w:type="paragraph" w:styleId="a5">
    <w:name w:val="Balloon Text"/>
    <w:basedOn w:val="a"/>
    <w:link w:val="Char1"/>
    <w:uiPriority w:val="99"/>
    <w:semiHidden/>
    <w:unhideWhenUsed/>
    <w:rsid w:val="005368CC"/>
    <w:rPr>
      <w:sz w:val="18"/>
      <w:szCs w:val="18"/>
    </w:rPr>
  </w:style>
  <w:style w:type="character" w:customStyle="1" w:styleId="Char1">
    <w:name w:val="批注框文本 Char"/>
    <w:basedOn w:val="a0"/>
    <w:link w:val="a5"/>
    <w:uiPriority w:val="99"/>
    <w:semiHidden/>
    <w:rsid w:val="005368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1126</Characters>
  <Application>Microsoft Office Word</Application>
  <DocSecurity>0</DocSecurity>
  <Lines>9</Lines>
  <Paragraphs>2</Paragraphs>
  <ScaleCrop>false</ScaleCrop>
  <Company>CFDA</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2017-02-17T02:56:00Z</dcterms:created>
  <dcterms:modified xsi:type="dcterms:W3CDTF">2017-02-17T02:56:00Z</dcterms:modified>
</cp:coreProperties>
</file>