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CC" w:rsidRPr="005368CC" w:rsidRDefault="005368CC" w:rsidP="005368CC">
      <w:pPr>
        <w:rPr>
          <w:rFonts w:ascii="黑体" w:eastAsia="黑体" w:hAnsi="黑体"/>
          <w:color w:val="000000"/>
          <w:sz w:val="32"/>
          <w:szCs w:val="32"/>
        </w:rPr>
      </w:pPr>
      <w:r w:rsidRPr="005368CC">
        <w:rPr>
          <w:rFonts w:ascii="黑体" w:eastAsia="黑体" w:hAnsi="黑体" w:hint="eastAsia"/>
          <w:color w:val="000000"/>
          <w:sz w:val="32"/>
          <w:szCs w:val="32"/>
        </w:rPr>
        <w:t>附件3</w:t>
      </w:r>
    </w:p>
    <w:p w:rsidR="005368CC" w:rsidRPr="005368CC" w:rsidRDefault="005368CC" w:rsidP="005368CC">
      <w:pPr>
        <w:spacing w:line="640" w:lineRule="exact"/>
        <w:jc w:val="center"/>
        <w:rPr>
          <w:rFonts w:ascii="仿宋_GB2312" w:eastAsia="仿宋_GB2312" w:hAnsi="华文仿宋"/>
          <w:color w:val="000000"/>
          <w:sz w:val="18"/>
          <w:szCs w:val="18"/>
        </w:rPr>
      </w:pPr>
    </w:p>
    <w:p w:rsidR="005368CC" w:rsidRPr="005368CC" w:rsidRDefault="005368CC" w:rsidP="005368CC">
      <w:pPr>
        <w:spacing w:line="640" w:lineRule="exact"/>
        <w:jc w:val="center"/>
        <w:rPr>
          <w:rFonts w:ascii="方正小标宋简体" w:eastAsia="方正小标宋简体" w:hAnsi="宋体"/>
          <w:color w:val="000000"/>
          <w:sz w:val="44"/>
          <w:szCs w:val="44"/>
        </w:rPr>
      </w:pPr>
      <w:r w:rsidRPr="005368CC">
        <w:rPr>
          <w:rFonts w:ascii="方正小标宋简体" w:eastAsia="方正小标宋简体" w:hAnsi="宋体" w:hint="eastAsia"/>
          <w:color w:val="000000"/>
          <w:sz w:val="44"/>
          <w:szCs w:val="44"/>
        </w:rPr>
        <w:t>仿制药质量和疗效一致性评价工作中</w:t>
      </w:r>
    </w:p>
    <w:p w:rsidR="005368CC" w:rsidRPr="005368CC" w:rsidRDefault="005368CC" w:rsidP="005368CC">
      <w:pPr>
        <w:spacing w:line="640" w:lineRule="exact"/>
        <w:jc w:val="center"/>
        <w:rPr>
          <w:rFonts w:ascii="方正小标宋简体" w:eastAsia="方正小标宋简体" w:hAnsi="宋体"/>
          <w:color w:val="000000"/>
          <w:sz w:val="44"/>
          <w:szCs w:val="44"/>
        </w:rPr>
      </w:pPr>
      <w:r w:rsidRPr="005368CC">
        <w:rPr>
          <w:rFonts w:ascii="方正小标宋简体" w:eastAsia="方正小标宋简体" w:hAnsi="宋体" w:hint="eastAsia"/>
          <w:color w:val="000000"/>
          <w:sz w:val="44"/>
          <w:szCs w:val="44"/>
        </w:rPr>
        <w:t>改盐基药品评价一般考虑</w:t>
      </w:r>
    </w:p>
    <w:p w:rsidR="005368CC" w:rsidRPr="005368CC" w:rsidRDefault="005368CC" w:rsidP="005368CC">
      <w:pPr>
        <w:spacing w:line="640" w:lineRule="exact"/>
        <w:ind w:firstLineChars="200" w:firstLine="640"/>
        <w:jc w:val="center"/>
        <w:rPr>
          <w:rFonts w:eastAsia="仿宋_GB2312"/>
          <w:color w:val="000000"/>
          <w:sz w:val="32"/>
          <w:szCs w:val="32"/>
        </w:rPr>
      </w:pP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为贯彻《国务院关于改革药品医疗器械审评审批制度的意见》（国发〔</w:t>
      </w:r>
      <w:r w:rsidRPr="005368CC">
        <w:rPr>
          <w:rFonts w:eastAsia="仿宋_GB2312"/>
          <w:color w:val="000000"/>
          <w:sz w:val="32"/>
          <w:szCs w:val="32"/>
        </w:rPr>
        <w:t>2015</w:t>
      </w:r>
      <w:r w:rsidRPr="005368CC">
        <w:rPr>
          <w:rFonts w:eastAsia="仿宋_GB2312"/>
          <w:color w:val="000000"/>
          <w:sz w:val="32"/>
          <w:szCs w:val="32"/>
        </w:rPr>
        <w:t>〕</w:t>
      </w:r>
      <w:r w:rsidRPr="005368CC">
        <w:rPr>
          <w:rFonts w:eastAsia="仿宋_GB2312"/>
          <w:color w:val="000000"/>
          <w:sz w:val="32"/>
          <w:szCs w:val="32"/>
        </w:rPr>
        <w:t>44</w:t>
      </w:r>
      <w:r w:rsidRPr="005368CC">
        <w:rPr>
          <w:rFonts w:eastAsia="仿宋_GB2312"/>
          <w:color w:val="000000"/>
          <w:sz w:val="32"/>
          <w:szCs w:val="32"/>
        </w:rPr>
        <w:t>号）和《国务院办公厅关于开展仿制药质量和疗效一致性评价的意见》（国办发〔</w:t>
      </w:r>
      <w:r w:rsidRPr="005368CC">
        <w:rPr>
          <w:rFonts w:eastAsia="仿宋_GB2312"/>
          <w:color w:val="000000"/>
          <w:sz w:val="32"/>
          <w:szCs w:val="32"/>
        </w:rPr>
        <w:t>2016</w:t>
      </w:r>
      <w:r w:rsidRPr="005368CC">
        <w:rPr>
          <w:rFonts w:eastAsia="仿宋_GB2312"/>
          <w:color w:val="000000"/>
          <w:sz w:val="32"/>
          <w:szCs w:val="32"/>
        </w:rPr>
        <w:t>〕</w:t>
      </w:r>
      <w:r w:rsidRPr="005368CC">
        <w:rPr>
          <w:rFonts w:eastAsia="仿宋_GB2312"/>
          <w:color w:val="000000"/>
          <w:sz w:val="32"/>
          <w:szCs w:val="32"/>
        </w:rPr>
        <w:t>8</w:t>
      </w:r>
      <w:r w:rsidRPr="005368CC">
        <w:rPr>
          <w:rFonts w:eastAsia="仿宋_GB2312"/>
          <w:color w:val="000000"/>
          <w:sz w:val="32"/>
          <w:szCs w:val="32"/>
        </w:rPr>
        <w:t>号）的精神，国家食品药品监督管理总局发布了《关于落实〈国务院办公厅关于开展仿制药质量和疗效一致性评价的意见〉有关事项的公告》（</w:t>
      </w:r>
      <w:r w:rsidRPr="005368CC">
        <w:rPr>
          <w:rFonts w:eastAsia="仿宋_GB2312"/>
          <w:color w:val="000000"/>
          <w:sz w:val="32"/>
          <w:szCs w:val="32"/>
        </w:rPr>
        <w:t>2016</w:t>
      </w:r>
      <w:r w:rsidRPr="005368CC">
        <w:rPr>
          <w:rFonts w:eastAsia="仿宋_GB2312"/>
          <w:color w:val="000000"/>
          <w:sz w:val="32"/>
          <w:szCs w:val="32"/>
        </w:rPr>
        <w:t>年第</w:t>
      </w:r>
      <w:r w:rsidRPr="005368CC">
        <w:rPr>
          <w:rFonts w:eastAsia="仿宋_GB2312"/>
          <w:color w:val="000000"/>
          <w:sz w:val="32"/>
          <w:szCs w:val="32"/>
        </w:rPr>
        <w:t>106</w:t>
      </w:r>
      <w:r w:rsidRPr="005368CC">
        <w:rPr>
          <w:rFonts w:eastAsia="仿宋_GB2312"/>
          <w:color w:val="000000"/>
          <w:sz w:val="32"/>
          <w:szCs w:val="32"/>
        </w:rPr>
        <w:t>号）和《普通口服固体制剂参比制剂选择和确定指导原则》（</w:t>
      </w:r>
      <w:r w:rsidRPr="005368CC">
        <w:rPr>
          <w:rFonts w:eastAsia="仿宋_GB2312"/>
          <w:color w:val="000000"/>
          <w:sz w:val="32"/>
          <w:szCs w:val="32"/>
        </w:rPr>
        <w:t>2016</w:t>
      </w:r>
      <w:r w:rsidRPr="005368CC">
        <w:rPr>
          <w:rFonts w:eastAsia="仿宋_GB2312"/>
          <w:color w:val="000000"/>
          <w:sz w:val="32"/>
          <w:szCs w:val="32"/>
        </w:rPr>
        <w:t>年第</w:t>
      </w:r>
      <w:r w:rsidRPr="005368CC">
        <w:rPr>
          <w:rFonts w:eastAsia="仿宋_GB2312"/>
          <w:color w:val="000000"/>
          <w:sz w:val="32"/>
          <w:szCs w:val="32"/>
        </w:rPr>
        <w:t>61</w:t>
      </w:r>
      <w:r w:rsidRPr="005368CC">
        <w:rPr>
          <w:rFonts w:eastAsia="仿宋_GB2312"/>
          <w:color w:val="000000"/>
          <w:sz w:val="32"/>
          <w:szCs w:val="32"/>
        </w:rPr>
        <w:t>号通告）等多个技术指导原则，本文是上述指导原则的补充文件。</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改盐基药品系指制剂中使用的原料药在美国、欧盟或日本均未获准使用或无法确定含有相同原料药的参比制剂的药品。</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本文件适用于仿制药质量和疗效一致性评价工作中适应症相同的改盐基药品的评价。评价工作包括但不限于本文件中描述的内容。</w:t>
      </w:r>
    </w:p>
    <w:p w:rsidR="005368CC" w:rsidRPr="005368CC" w:rsidRDefault="005368CC" w:rsidP="005368CC">
      <w:pPr>
        <w:spacing w:line="640" w:lineRule="exact"/>
        <w:ind w:firstLineChars="200" w:firstLine="640"/>
        <w:rPr>
          <w:rFonts w:ascii="黑体" w:eastAsia="黑体" w:hAnsi="黑体"/>
          <w:color w:val="000000"/>
          <w:sz w:val="32"/>
          <w:szCs w:val="32"/>
        </w:rPr>
      </w:pPr>
      <w:r w:rsidRPr="005368CC">
        <w:rPr>
          <w:rFonts w:ascii="黑体" w:eastAsia="黑体" w:hAnsi="黑体"/>
          <w:color w:val="000000"/>
          <w:sz w:val="32"/>
          <w:szCs w:val="32"/>
        </w:rPr>
        <w:t>一、概述</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不同药品如果活性成分相同，仅成盐形式不同，称为改盐基</w:t>
      </w:r>
      <w:r w:rsidRPr="005368CC">
        <w:rPr>
          <w:rFonts w:eastAsia="仿宋_GB2312"/>
          <w:color w:val="000000"/>
          <w:sz w:val="32"/>
          <w:szCs w:val="32"/>
        </w:rPr>
        <w:lastRenderedPageBreak/>
        <w:t>药品，包括改变已知盐类活性成分的酸根、碱基或金属离子，对游离形式药品成盐或把成盐药品改为游离形式等原料药与制剂。</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原则上讲，通过改变成盐形式制成的药品应不改变其药理作用，仅改变其理化性质（如溶解度、稳定性等），以适应储存、生产或临床用药的需要。但是，每种不同成盐形式的药品都是具有独特化学性质和生物活性的化合物，其理化性质改变后，可引起药理作用程度或性质、体内过程的改变（如溶解度改变可影响药品的体内吸收，甚至体内药动学过程也会因此有所变化），从而影响药品的药效作用强度、作用位点和持续时间，有的甚至出现新的毒性、活性或适应症改变，其临床疗效和药品的安全性也不尽相同。对此类药品进行再评价是仿制药质量与疗效一致性评价工作的重要组成部分。</w:t>
      </w:r>
    </w:p>
    <w:p w:rsidR="005368CC" w:rsidRPr="005368CC" w:rsidRDefault="005368CC" w:rsidP="005368CC">
      <w:pPr>
        <w:spacing w:line="640" w:lineRule="exact"/>
        <w:ind w:firstLineChars="200" w:firstLine="640"/>
        <w:rPr>
          <w:rFonts w:ascii="黑体" w:eastAsia="黑体" w:hAnsi="黑体"/>
          <w:color w:val="000000"/>
          <w:sz w:val="32"/>
          <w:szCs w:val="32"/>
        </w:rPr>
      </w:pPr>
      <w:r w:rsidRPr="005368CC">
        <w:rPr>
          <w:rFonts w:ascii="黑体" w:eastAsia="黑体" w:hAnsi="黑体"/>
          <w:color w:val="000000"/>
          <w:sz w:val="32"/>
          <w:szCs w:val="32"/>
        </w:rPr>
        <w:t>二、评价内容</w:t>
      </w:r>
    </w:p>
    <w:p w:rsidR="005368CC" w:rsidRPr="005368CC" w:rsidRDefault="005368CC" w:rsidP="005368CC">
      <w:pPr>
        <w:spacing w:line="640" w:lineRule="exact"/>
        <w:ind w:firstLineChars="200" w:firstLine="640"/>
        <w:rPr>
          <w:rFonts w:eastAsia="仿宋_GB2312"/>
          <w:color w:val="000000"/>
          <w:spacing w:val="4"/>
          <w:sz w:val="32"/>
          <w:szCs w:val="32"/>
        </w:rPr>
      </w:pPr>
      <w:r w:rsidRPr="005368CC">
        <w:rPr>
          <w:rFonts w:eastAsia="仿宋_GB2312"/>
          <w:color w:val="000000"/>
          <w:sz w:val="32"/>
          <w:szCs w:val="32"/>
        </w:rPr>
        <w:t>改</w:t>
      </w:r>
      <w:r w:rsidRPr="005368CC">
        <w:rPr>
          <w:rFonts w:eastAsia="仿宋_GB2312"/>
          <w:color w:val="000000"/>
          <w:spacing w:val="4"/>
          <w:sz w:val="32"/>
          <w:szCs w:val="32"/>
        </w:rPr>
        <w:t>盐基药品包括原料药与制剂。对改盐基药品的有效性和安全性评价应以被改盐基药品为对照，进行对比试验，并对二者在各项目的异同与优劣进行评价。研究内容主要体现在以下几个方面：</w:t>
      </w:r>
    </w:p>
    <w:p w:rsidR="005368CC" w:rsidRPr="005368CC" w:rsidRDefault="005368CC" w:rsidP="005368CC">
      <w:pPr>
        <w:spacing w:line="640" w:lineRule="exact"/>
        <w:ind w:firstLineChars="200" w:firstLine="640"/>
        <w:rPr>
          <w:rFonts w:ascii="楷体_GB2312" w:eastAsia="楷体_GB2312"/>
          <w:color w:val="000000"/>
          <w:sz w:val="32"/>
          <w:szCs w:val="32"/>
        </w:rPr>
      </w:pPr>
      <w:r w:rsidRPr="005368CC">
        <w:rPr>
          <w:rFonts w:ascii="楷体_GB2312" w:eastAsia="楷体_GB2312" w:hint="eastAsia"/>
          <w:color w:val="000000"/>
          <w:sz w:val="32"/>
          <w:szCs w:val="32"/>
        </w:rPr>
        <w:t>（一）改盐基的科学性和合理性</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从药品的理化性质、生物学特性、临床需要等方面分析论证改盐基药品的科学性、合理性和必要性。</w:t>
      </w:r>
    </w:p>
    <w:p w:rsidR="005368CC" w:rsidRPr="005368CC" w:rsidRDefault="005368CC" w:rsidP="005368CC">
      <w:pPr>
        <w:spacing w:line="640" w:lineRule="exact"/>
        <w:ind w:firstLineChars="200" w:firstLine="640"/>
        <w:rPr>
          <w:rFonts w:ascii="楷体_GB2312" w:eastAsia="楷体_GB2312"/>
          <w:color w:val="000000"/>
          <w:sz w:val="32"/>
          <w:szCs w:val="32"/>
        </w:rPr>
      </w:pPr>
      <w:r w:rsidRPr="005368CC">
        <w:rPr>
          <w:rFonts w:ascii="楷体_GB2312" w:eastAsia="楷体_GB2312"/>
          <w:color w:val="000000"/>
          <w:sz w:val="32"/>
          <w:szCs w:val="32"/>
        </w:rPr>
        <w:lastRenderedPageBreak/>
        <w:t>（二）药学研究</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药学研究均要求与被改盐基药品对照，进行对比试验，并对改盐基药品与被改盐基药品在各项目的异同与优劣进行评价。改盐基药品质量应与被改盐基药品的参比制剂质量相当。研究内容主要为以下几个方面：</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1.</w:t>
      </w:r>
      <w:r w:rsidRPr="005368CC">
        <w:rPr>
          <w:rFonts w:eastAsia="仿宋_GB2312"/>
          <w:color w:val="000000"/>
          <w:sz w:val="32"/>
          <w:szCs w:val="32"/>
        </w:rPr>
        <w:t>原料药</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w:t>
      </w:r>
      <w:r w:rsidRPr="005368CC">
        <w:rPr>
          <w:rFonts w:eastAsia="仿宋_GB2312"/>
          <w:color w:val="000000"/>
          <w:sz w:val="32"/>
          <w:szCs w:val="32"/>
        </w:rPr>
        <w:t>1</w:t>
      </w:r>
      <w:r w:rsidRPr="005368CC">
        <w:rPr>
          <w:rFonts w:eastAsia="仿宋_GB2312"/>
          <w:color w:val="000000"/>
          <w:sz w:val="32"/>
          <w:szCs w:val="32"/>
        </w:rPr>
        <w:t>）结构鉴定：按照化学药品新注册分类</w:t>
      </w:r>
      <w:r w:rsidRPr="005368CC">
        <w:rPr>
          <w:rFonts w:eastAsia="仿宋_GB2312"/>
          <w:color w:val="000000"/>
          <w:sz w:val="32"/>
          <w:szCs w:val="32"/>
        </w:rPr>
        <w:t>2.1</w:t>
      </w:r>
      <w:r w:rsidRPr="005368CC">
        <w:rPr>
          <w:rFonts w:eastAsia="仿宋_GB2312"/>
          <w:color w:val="000000"/>
          <w:sz w:val="32"/>
          <w:szCs w:val="32"/>
        </w:rPr>
        <w:t>类要求进行结构确证，应提供充足的成盐证据。</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w:t>
      </w:r>
      <w:r w:rsidRPr="005368CC">
        <w:rPr>
          <w:rFonts w:eastAsia="仿宋_GB2312"/>
          <w:color w:val="000000"/>
          <w:sz w:val="32"/>
          <w:szCs w:val="32"/>
        </w:rPr>
        <w:t>2</w:t>
      </w:r>
      <w:r w:rsidRPr="005368CC">
        <w:rPr>
          <w:rFonts w:eastAsia="仿宋_GB2312"/>
          <w:color w:val="000000"/>
          <w:sz w:val="32"/>
          <w:szCs w:val="32"/>
        </w:rPr>
        <w:t>）理化性质：应进行理化性质的系统研究并与被改盐基药品进行比较，重点关注下述对比试验数据：溶解度（不同</w:t>
      </w:r>
      <w:r w:rsidRPr="005368CC">
        <w:rPr>
          <w:rFonts w:eastAsia="仿宋_GB2312"/>
          <w:color w:val="000000"/>
          <w:sz w:val="32"/>
          <w:szCs w:val="32"/>
        </w:rPr>
        <w:t>pH</w:t>
      </w:r>
      <w:r w:rsidRPr="005368CC">
        <w:rPr>
          <w:rFonts w:eastAsia="仿宋_GB2312"/>
          <w:color w:val="000000"/>
          <w:sz w:val="32"/>
          <w:szCs w:val="32"/>
        </w:rPr>
        <w:t>、不同溶剂等）、</w:t>
      </w:r>
      <w:r w:rsidRPr="005368CC">
        <w:rPr>
          <w:rFonts w:eastAsia="仿宋_GB2312"/>
          <w:color w:val="000000"/>
          <w:sz w:val="32"/>
          <w:szCs w:val="32"/>
        </w:rPr>
        <w:t>pKa</w:t>
      </w:r>
      <w:r w:rsidRPr="005368CC">
        <w:rPr>
          <w:rFonts w:eastAsia="仿宋_GB2312"/>
          <w:color w:val="000000"/>
          <w:sz w:val="32"/>
          <w:szCs w:val="32"/>
        </w:rPr>
        <w:t>（</w:t>
      </w:r>
      <w:r w:rsidRPr="005368CC">
        <w:rPr>
          <w:rFonts w:eastAsia="仿宋_GB2312"/>
          <w:color w:val="000000"/>
          <w:sz w:val="32"/>
          <w:szCs w:val="32"/>
        </w:rPr>
        <w:t>pKb</w:t>
      </w:r>
      <w:r w:rsidRPr="005368CC">
        <w:rPr>
          <w:rFonts w:eastAsia="仿宋_GB2312"/>
          <w:color w:val="000000"/>
          <w:sz w:val="32"/>
          <w:szCs w:val="32"/>
        </w:rPr>
        <w:t>）、吸湿性（临界相对湿度及吸湿曲线）、晶型等。应尽可能提供详细的被改盐基药品理化性质文献信息。</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w:t>
      </w:r>
      <w:r w:rsidRPr="005368CC">
        <w:rPr>
          <w:rFonts w:eastAsia="仿宋_GB2312"/>
          <w:color w:val="000000"/>
          <w:sz w:val="32"/>
          <w:szCs w:val="32"/>
        </w:rPr>
        <w:t>3</w:t>
      </w:r>
      <w:r w:rsidRPr="005368CC">
        <w:rPr>
          <w:rFonts w:eastAsia="仿宋_GB2312"/>
          <w:color w:val="000000"/>
          <w:sz w:val="32"/>
          <w:szCs w:val="32"/>
        </w:rPr>
        <w:t>）质量控制：应进行与安全性、有效性有关的各项目的系统研究并进行比较，重点关注有关物质结构确证的严谨性，杂质分析方法的科学性与合理性、杂质的产生途径以及杂质水平等对比试验数据，尤其是否有新增杂质及其杂质水平与毒性，对于存在潜在安全风险的盐基（如甲磺酸盐等）进行系统研究与控制，说明杂质限度制订的依据。</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w:t>
      </w:r>
      <w:r w:rsidRPr="005368CC">
        <w:rPr>
          <w:rFonts w:eastAsia="仿宋_GB2312"/>
          <w:color w:val="000000"/>
          <w:sz w:val="32"/>
          <w:szCs w:val="32"/>
        </w:rPr>
        <w:t>4</w:t>
      </w:r>
      <w:r w:rsidRPr="005368CC">
        <w:rPr>
          <w:rFonts w:eastAsia="仿宋_GB2312"/>
          <w:color w:val="000000"/>
          <w:sz w:val="32"/>
          <w:szCs w:val="32"/>
        </w:rPr>
        <w:t>）稳定性试验：应进行各质控项目试验的比较和分析，重点关注性状、晶型、有关物质、含量测定等。</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lastRenderedPageBreak/>
        <w:t>2.</w:t>
      </w:r>
      <w:r w:rsidRPr="005368CC">
        <w:rPr>
          <w:rFonts w:eastAsia="仿宋_GB2312"/>
          <w:color w:val="000000"/>
          <w:sz w:val="32"/>
          <w:szCs w:val="32"/>
        </w:rPr>
        <w:t>制剂</w:t>
      </w:r>
    </w:p>
    <w:p w:rsidR="005368CC" w:rsidRPr="005368CC" w:rsidRDefault="005368CC" w:rsidP="005368CC">
      <w:pPr>
        <w:spacing w:line="640" w:lineRule="exact"/>
        <w:ind w:firstLineChars="200" w:firstLine="640"/>
        <w:rPr>
          <w:rFonts w:eastAsia="仿宋_GB2312"/>
          <w:color w:val="000000"/>
          <w:spacing w:val="-4"/>
          <w:sz w:val="32"/>
          <w:szCs w:val="32"/>
        </w:rPr>
      </w:pPr>
      <w:r w:rsidRPr="005368CC">
        <w:rPr>
          <w:rFonts w:eastAsia="仿宋_GB2312"/>
          <w:color w:val="000000"/>
          <w:sz w:val="32"/>
          <w:szCs w:val="32"/>
        </w:rPr>
        <w:t>（</w:t>
      </w:r>
      <w:r w:rsidRPr="005368CC">
        <w:rPr>
          <w:rFonts w:eastAsia="仿宋_GB2312"/>
          <w:color w:val="000000"/>
          <w:sz w:val="32"/>
          <w:szCs w:val="32"/>
        </w:rPr>
        <w:t>1</w:t>
      </w:r>
      <w:r w:rsidRPr="005368CC">
        <w:rPr>
          <w:rFonts w:eastAsia="仿宋_GB2312"/>
          <w:color w:val="000000"/>
          <w:sz w:val="32"/>
          <w:szCs w:val="32"/>
        </w:rPr>
        <w:t>）剂</w:t>
      </w:r>
      <w:r w:rsidRPr="005368CC">
        <w:rPr>
          <w:rFonts w:eastAsia="仿宋_GB2312"/>
          <w:color w:val="000000"/>
          <w:spacing w:val="-4"/>
          <w:sz w:val="32"/>
          <w:szCs w:val="32"/>
        </w:rPr>
        <w:t>型及产品组成：不同成盐方式对药品的理化性质可能有很大影响，理化性质对于剂型选择和确定生产工艺非常重要。应关注剂型与规格的选择依据，以及处方组成、生产工艺、包装材料选择和确定的合理性，注意与被改盐基的参比制剂的比较。</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w:t>
      </w:r>
      <w:r w:rsidRPr="005368CC">
        <w:rPr>
          <w:rFonts w:eastAsia="仿宋_GB2312"/>
          <w:color w:val="000000"/>
          <w:sz w:val="32"/>
          <w:szCs w:val="32"/>
        </w:rPr>
        <w:t>2</w:t>
      </w:r>
      <w:r w:rsidRPr="005368CC">
        <w:rPr>
          <w:rFonts w:eastAsia="仿宋_GB2312"/>
          <w:color w:val="000000"/>
          <w:sz w:val="32"/>
          <w:szCs w:val="32"/>
        </w:rPr>
        <w:t>）原辅料的控制：</w:t>
      </w:r>
      <w:r w:rsidRPr="005368CC">
        <w:rPr>
          <w:rFonts w:ascii="宋体" w:hAnsi="宋体" w:cs="宋体" w:hint="eastAsia"/>
          <w:color w:val="000000"/>
          <w:sz w:val="32"/>
          <w:szCs w:val="32"/>
        </w:rPr>
        <w:t>①</w:t>
      </w:r>
      <w:r w:rsidRPr="005368CC">
        <w:rPr>
          <w:rFonts w:eastAsia="仿宋_GB2312"/>
          <w:color w:val="000000"/>
          <w:sz w:val="32"/>
          <w:szCs w:val="32"/>
        </w:rPr>
        <w:t>分析与制剂生产及制剂性能相关的原料药的关键理化特性（如晶型、不同</w:t>
      </w:r>
      <w:r w:rsidRPr="005368CC">
        <w:rPr>
          <w:rFonts w:eastAsia="仿宋_GB2312"/>
          <w:color w:val="000000"/>
          <w:sz w:val="32"/>
          <w:szCs w:val="32"/>
        </w:rPr>
        <w:t>pH</w:t>
      </w:r>
      <w:r w:rsidRPr="005368CC">
        <w:rPr>
          <w:rFonts w:eastAsia="仿宋_GB2312"/>
          <w:color w:val="000000"/>
          <w:sz w:val="32"/>
          <w:szCs w:val="32"/>
        </w:rPr>
        <w:t>条件下溶解性、粒度分布、</w:t>
      </w:r>
      <w:r w:rsidRPr="005368CC">
        <w:rPr>
          <w:rFonts w:eastAsia="仿宋_GB2312"/>
          <w:color w:val="000000"/>
          <w:sz w:val="32"/>
          <w:szCs w:val="32"/>
        </w:rPr>
        <w:t>pKa</w:t>
      </w:r>
      <w:r w:rsidRPr="005368CC">
        <w:rPr>
          <w:rFonts w:eastAsia="仿宋_GB2312"/>
          <w:color w:val="000000"/>
          <w:sz w:val="32"/>
          <w:szCs w:val="32"/>
        </w:rPr>
        <w:t>、</w:t>
      </w:r>
      <w:r w:rsidRPr="005368CC">
        <w:rPr>
          <w:rFonts w:eastAsia="仿宋_GB2312"/>
          <w:color w:val="000000"/>
          <w:sz w:val="32"/>
          <w:szCs w:val="32"/>
        </w:rPr>
        <w:t>logP</w:t>
      </w:r>
      <w:r w:rsidRPr="005368CC">
        <w:rPr>
          <w:rFonts w:eastAsia="仿宋_GB2312"/>
          <w:color w:val="000000"/>
          <w:sz w:val="32"/>
          <w:szCs w:val="32"/>
        </w:rPr>
        <w:t>等）及其控制；说明是否进行了原料药和辅料的相容性试验及依据；如进行了原料药和辅料的相容性试验，简述试验情况，包括试验设计、考察指标、试验结果等。</w:t>
      </w:r>
      <w:r w:rsidRPr="005368CC">
        <w:rPr>
          <w:rFonts w:ascii="宋体" w:hAnsi="宋体" w:cs="宋体" w:hint="eastAsia"/>
          <w:color w:val="000000"/>
          <w:sz w:val="32"/>
          <w:szCs w:val="32"/>
        </w:rPr>
        <w:t>②</w:t>
      </w:r>
      <w:r w:rsidRPr="005368CC">
        <w:rPr>
          <w:rFonts w:eastAsia="仿宋_GB2312"/>
          <w:color w:val="000000"/>
          <w:sz w:val="32"/>
          <w:szCs w:val="32"/>
        </w:rPr>
        <w:t>简述辅料是否适合所用的给药途径，结合辅料在处方中的作用分析主要辅料与制剂性能相关的关键特性。如有变更，对变更处方后辅料的合理性以及处方的合理性进行分析研究。</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w:t>
      </w:r>
      <w:r w:rsidRPr="005368CC">
        <w:rPr>
          <w:rFonts w:eastAsia="仿宋_GB2312"/>
          <w:color w:val="000000"/>
          <w:sz w:val="32"/>
          <w:szCs w:val="32"/>
        </w:rPr>
        <w:t>3</w:t>
      </w:r>
      <w:r w:rsidRPr="005368CC">
        <w:rPr>
          <w:rFonts w:eastAsia="仿宋_GB2312"/>
          <w:color w:val="000000"/>
          <w:sz w:val="32"/>
          <w:szCs w:val="32"/>
        </w:rPr>
        <w:t>）质量控制：应进行与安全性有效性有关的各项目的系统研究与比较，重点关注有关物质结构确证的严谨性，杂质分析方法的科学性与合理性、杂质的产生途径以及杂质水平等对比试验数据，尤其是否有新增杂质及其杂质水平与毒性等，对于存在潜在安全风险的盐基（如甲磺酸盐等）进行系统研究与控制，说明杂质限度制订的依据，以及溶出曲线等能反映其剂型特点的关键项目的对比试验。</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lastRenderedPageBreak/>
        <w:t>（</w:t>
      </w:r>
      <w:r w:rsidRPr="005368CC">
        <w:rPr>
          <w:rFonts w:eastAsia="仿宋_GB2312"/>
          <w:color w:val="000000"/>
          <w:sz w:val="32"/>
          <w:szCs w:val="32"/>
        </w:rPr>
        <w:t>4</w:t>
      </w:r>
      <w:r w:rsidRPr="005368CC">
        <w:rPr>
          <w:rFonts w:eastAsia="仿宋_GB2312"/>
          <w:color w:val="000000"/>
          <w:sz w:val="32"/>
          <w:szCs w:val="32"/>
        </w:rPr>
        <w:t>）稳定性试验：应进行各质控项目试验的比较和分析，重点关注性状、溶出曲线、有关物质、含量测定等。</w:t>
      </w:r>
    </w:p>
    <w:p w:rsidR="005368CC" w:rsidRPr="005368CC" w:rsidRDefault="005368CC" w:rsidP="005368CC">
      <w:pPr>
        <w:spacing w:line="640" w:lineRule="exact"/>
        <w:ind w:firstLineChars="200" w:firstLine="640"/>
        <w:rPr>
          <w:rFonts w:ascii="楷体_GB2312" w:eastAsia="楷体_GB2312"/>
          <w:color w:val="000000"/>
          <w:sz w:val="32"/>
          <w:szCs w:val="32"/>
        </w:rPr>
      </w:pPr>
      <w:r w:rsidRPr="005368CC">
        <w:rPr>
          <w:rFonts w:ascii="楷体_GB2312" w:eastAsia="楷体_GB2312"/>
          <w:color w:val="000000"/>
          <w:sz w:val="32"/>
          <w:szCs w:val="32"/>
        </w:rPr>
        <w:t>（三）非临床研究</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因改盐基药品已上市并用于临床治疗，一般情况下，体内药理活性成分相同，原则上不再开展非临床药效学和毒理学研究。</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应分析改盐基药品与被改盐基药品相比，是否增加了与盐基相关的潜在安全风险。重点关注：成盐药品的毒性是否与成盐时结合的阴阳离子有密切关系；成盐的制备过程中是否可能产生新的潜在的毒性杂质；体内是否可能产生毒性代谢物。必要时按照化学药品新注册分类</w:t>
      </w:r>
      <w:r w:rsidRPr="005368CC">
        <w:rPr>
          <w:rFonts w:eastAsia="仿宋_GB2312"/>
          <w:color w:val="000000"/>
          <w:sz w:val="32"/>
          <w:szCs w:val="32"/>
        </w:rPr>
        <w:t>2.1</w:t>
      </w:r>
      <w:r w:rsidRPr="005368CC">
        <w:rPr>
          <w:rFonts w:eastAsia="仿宋_GB2312"/>
          <w:color w:val="000000"/>
          <w:sz w:val="32"/>
          <w:szCs w:val="32"/>
        </w:rPr>
        <w:t>类要求进行毒理学研究。</w:t>
      </w:r>
    </w:p>
    <w:p w:rsidR="005368CC" w:rsidRPr="005368CC" w:rsidRDefault="005368CC" w:rsidP="005368CC">
      <w:pPr>
        <w:spacing w:line="640" w:lineRule="exact"/>
        <w:ind w:firstLineChars="200" w:firstLine="640"/>
        <w:rPr>
          <w:rFonts w:ascii="楷体_GB2312" w:eastAsia="楷体_GB2312"/>
          <w:color w:val="000000"/>
          <w:sz w:val="32"/>
          <w:szCs w:val="32"/>
        </w:rPr>
      </w:pPr>
      <w:r w:rsidRPr="005368CC">
        <w:rPr>
          <w:rFonts w:ascii="楷体_GB2312" w:eastAsia="楷体_GB2312"/>
          <w:color w:val="000000"/>
          <w:sz w:val="32"/>
          <w:szCs w:val="32"/>
        </w:rPr>
        <w:t>（四）生物等效性试验或临床试验</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以等效为立题依据的改盐基药品，开展与被改盐基药品参比制剂的生物等效性研究；以优效为立题依据的改盐基药品，建议以被改盐基药品作为参比制剂，进行药代动力学研究、药代动力学研究</w:t>
      </w:r>
      <w:r w:rsidRPr="005368CC">
        <w:rPr>
          <w:rFonts w:eastAsia="仿宋_GB2312"/>
          <w:color w:val="000000"/>
          <w:sz w:val="32"/>
          <w:szCs w:val="32"/>
        </w:rPr>
        <w:t>/</w:t>
      </w:r>
      <w:r w:rsidRPr="005368CC">
        <w:rPr>
          <w:rFonts w:eastAsia="仿宋_GB2312"/>
          <w:color w:val="000000"/>
          <w:sz w:val="32"/>
          <w:szCs w:val="32"/>
        </w:rPr>
        <w:t>药效动力学研究和（或）相应的临床试验。</w:t>
      </w:r>
    </w:p>
    <w:p w:rsidR="005368CC" w:rsidRPr="005368CC" w:rsidRDefault="005368CC" w:rsidP="005368CC">
      <w:pPr>
        <w:spacing w:line="640" w:lineRule="exact"/>
        <w:ind w:firstLineChars="200" w:firstLine="640"/>
        <w:rPr>
          <w:rFonts w:ascii="黑体" w:eastAsia="黑体" w:hAnsi="黑体"/>
          <w:color w:val="000000"/>
          <w:sz w:val="32"/>
          <w:szCs w:val="32"/>
        </w:rPr>
      </w:pPr>
      <w:r w:rsidRPr="005368CC">
        <w:rPr>
          <w:rFonts w:ascii="黑体" w:eastAsia="黑体" w:hAnsi="黑体"/>
          <w:color w:val="000000"/>
          <w:sz w:val="32"/>
          <w:szCs w:val="32"/>
        </w:rPr>
        <w:t>三、其他</w:t>
      </w:r>
    </w:p>
    <w:p w:rsidR="005368CC" w:rsidRPr="005368CC" w:rsidRDefault="005368CC" w:rsidP="005368CC">
      <w:pPr>
        <w:spacing w:line="640" w:lineRule="exact"/>
        <w:ind w:firstLineChars="200" w:firstLine="640"/>
        <w:rPr>
          <w:rFonts w:eastAsia="仿宋_GB2312"/>
          <w:color w:val="000000"/>
          <w:sz w:val="32"/>
          <w:szCs w:val="32"/>
        </w:rPr>
      </w:pPr>
      <w:r w:rsidRPr="005368CC">
        <w:rPr>
          <w:rFonts w:eastAsia="仿宋_GB2312"/>
          <w:color w:val="000000"/>
          <w:sz w:val="32"/>
          <w:szCs w:val="32"/>
        </w:rPr>
        <w:t>其他未尽事宜请参照国家食品药品监督管理总局《关于发布化学药品新注册分类申报资料要求（试行）的通告》（</w:t>
      </w:r>
      <w:r w:rsidRPr="005368CC">
        <w:rPr>
          <w:rFonts w:eastAsia="仿宋_GB2312"/>
          <w:color w:val="000000"/>
          <w:sz w:val="32"/>
          <w:szCs w:val="32"/>
        </w:rPr>
        <w:t>2016</w:t>
      </w:r>
      <w:r w:rsidRPr="005368CC">
        <w:rPr>
          <w:rFonts w:eastAsia="仿宋_GB2312"/>
          <w:color w:val="000000"/>
          <w:sz w:val="32"/>
          <w:szCs w:val="32"/>
        </w:rPr>
        <w:t>年第</w:t>
      </w:r>
      <w:r w:rsidRPr="005368CC">
        <w:rPr>
          <w:rFonts w:eastAsia="仿宋_GB2312"/>
          <w:color w:val="000000"/>
          <w:sz w:val="32"/>
          <w:szCs w:val="32"/>
        </w:rPr>
        <w:t>80</w:t>
      </w:r>
      <w:r w:rsidRPr="005368CC">
        <w:rPr>
          <w:rFonts w:eastAsia="仿宋_GB2312"/>
          <w:color w:val="000000"/>
          <w:sz w:val="32"/>
          <w:szCs w:val="32"/>
        </w:rPr>
        <w:t>号）、《关于发布化学药品仿制药口服固体制剂质量和疗效一致性评价申报资料要求（试行）的通告》（</w:t>
      </w:r>
      <w:r w:rsidRPr="005368CC">
        <w:rPr>
          <w:rFonts w:eastAsia="仿宋_GB2312"/>
          <w:color w:val="000000"/>
          <w:sz w:val="32"/>
          <w:szCs w:val="32"/>
        </w:rPr>
        <w:t>2016</w:t>
      </w:r>
      <w:r w:rsidRPr="005368CC">
        <w:rPr>
          <w:rFonts w:eastAsia="仿宋_GB2312"/>
          <w:color w:val="000000"/>
          <w:sz w:val="32"/>
          <w:szCs w:val="32"/>
        </w:rPr>
        <w:t>年第</w:t>
      </w:r>
      <w:r w:rsidRPr="005368CC">
        <w:rPr>
          <w:rFonts w:eastAsia="仿宋_GB2312"/>
          <w:color w:val="000000"/>
          <w:sz w:val="32"/>
          <w:szCs w:val="32"/>
        </w:rPr>
        <w:t>120</w:t>
      </w:r>
      <w:r w:rsidRPr="005368CC">
        <w:rPr>
          <w:rFonts w:eastAsia="仿宋_GB2312"/>
          <w:color w:val="000000"/>
          <w:sz w:val="32"/>
          <w:szCs w:val="32"/>
        </w:rPr>
        <w:t>号）、《以</w:t>
      </w:r>
      <w:r w:rsidRPr="005368CC">
        <w:rPr>
          <w:rFonts w:eastAsia="仿宋_GB2312"/>
          <w:color w:val="000000"/>
          <w:sz w:val="32"/>
          <w:szCs w:val="32"/>
        </w:rPr>
        <w:lastRenderedPageBreak/>
        <w:t>药动学参数为终点评价指标的化学药物仿制药人体生物等效性研究技术指导原则》（</w:t>
      </w:r>
      <w:r w:rsidRPr="005368CC">
        <w:rPr>
          <w:rFonts w:eastAsia="仿宋_GB2312"/>
          <w:color w:val="000000"/>
          <w:sz w:val="32"/>
          <w:szCs w:val="32"/>
        </w:rPr>
        <w:t>2016</w:t>
      </w:r>
      <w:r w:rsidRPr="005368CC">
        <w:rPr>
          <w:rFonts w:eastAsia="仿宋_GB2312"/>
          <w:color w:val="000000"/>
          <w:sz w:val="32"/>
          <w:szCs w:val="32"/>
        </w:rPr>
        <w:t>年第</w:t>
      </w:r>
      <w:r w:rsidRPr="005368CC">
        <w:rPr>
          <w:rFonts w:eastAsia="仿宋_GB2312"/>
          <w:color w:val="000000"/>
          <w:sz w:val="32"/>
          <w:szCs w:val="32"/>
        </w:rPr>
        <w:t>61</w:t>
      </w:r>
      <w:r w:rsidRPr="005368CC">
        <w:rPr>
          <w:rFonts w:eastAsia="仿宋_GB2312"/>
          <w:color w:val="000000"/>
          <w:sz w:val="32"/>
          <w:szCs w:val="32"/>
        </w:rPr>
        <w:t>号通告）和《仿制药质量和疗效一致性评价临床有效性试验一般考虑》（</w:t>
      </w:r>
      <w:r w:rsidRPr="005368CC">
        <w:rPr>
          <w:rFonts w:eastAsia="仿宋_GB2312"/>
          <w:color w:val="000000"/>
          <w:sz w:val="32"/>
          <w:szCs w:val="32"/>
        </w:rPr>
        <w:t>2017</w:t>
      </w:r>
      <w:r w:rsidRPr="005368CC">
        <w:rPr>
          <w:rFonts w:eastAsia="仿宋_GB2312"/>
          <w:color w:val="000000"/>
          <w:sz w:val="32"/>
          <w:szCs w:val="32"/>
        </w:rPr>
        <w:t>年第</w:t>
      </w:r>
      <w:r w:rsidRPr="005368CC">
        <w:rPr>
          <w:rFonts w:eastAsia="仿宋_GB2312"/>
          <w:color w:val="000000"/>
          <w:sz w:val="32"/>
          <w:szCs w:val="32"/>
        </w:rPr>
        <w:t>18</w:t>
      </w:r>
      <w:r w:rsidRPr="005368CC">
        <w:rPr>
          <w:rFonts w:eastAsia="仿宋_GB2312"/>
          <w:color w:val="000000"/>
          <w:sz w:val="32"/>
          <w:szCs w:val="32"/>
        </w:rPr>
        <w:t>号通告）等有关文件进行。</w:t>
      </w:r>
    </w:p>
    <w:sectPr w:rsidR="005368CC" w:rsidRPr="005368CC" w:rsidSect="00AB2821">
      <w:footerReference w:type="even" r:id="rId6"/>
      <w:footerReference w:type="default" r:id="rId7"/>
      <w:pgSz w:w="11906" w:h="16838"/>
      <w:pgMar w:top="1928" w:right="1531" w:bottom="1814"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A41" w:rsidRDefault="00EC0A41" w:rsidP="005368CC">
      <w:r>
        <w:separator/>
      </w:r>
    </w:p>
  </w:endnote>
  <w:endnote w:type="continuationSeparator" w:id="1">
    <w:p w:rsidR="00EC0A41" w:rsidRDefault="00EC0A41" w:rsidP="005368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25" w:rsidRPr="00AB2821" w:rsidRDefault="006A3982">
    <w:pPr>
      <w:pStyle w:val="a4"/>
      <w:rPr>
        <w:sz w:val="28"/>
        <w:szCs w:val="28"/>
      </w:rPr>
    </w:pPr>
    <w:r w:rsidRPr="00AB2821">
      <w:rPr>
        <w:rFonts w:hint="eastAsia"/>
        <w:color w:val="FFFFFF"/>
        <w:sz w:val="28"/>
        <w:szCs w:val="28"/>
      </w:rPr>
      <w:t>—</w:t>
    </w:r>
    <w:r w:rsidRPr="00AB2821">
      <w:rPr>
        <w:rFonts w:hint="eastAsia"/>
        <w:sz w:val="28"/>
        <w:szCs w:val="28"/>
      </w:rPr>
      <w:t>—</w:t>
    </w:r>
    <w:r w:rsidR="006E7C00" w:rsidRPr="00AB2821">
      <w:rPr>
        <w:sz w:val="28"/>
        <w:szCs w:val="28"/>
      </w:rPr>
      <w:fldChar w:fldCharType="begin"/>
    </w:r>
    <w:r w:rsidRPr="00AB2821">
      <w:rPr>
        <w:sz w:val="28"/>
        <w:szCs w:val="28"/>
      </w:rPr>
      <w:instrText>PAGE   \* MERGEFORMAT</w:instrText>
    </w:r>
    <w:r w:rsidR="006E7C00" w:rsidRPr="00AB2821">
      <w:rPr>
        <w:sz w:val="28"/>
        <w:szCs w:val="28"/>
      </w:rPr>
      <w:fldChar w:fldCharType="separate"/>
    </w:r>
    <w:r w:rsidRPr="0024751C">
      <w:rPr>
        <w:noProof/>
        <w:sz w:val="28"/>
        <w:szCs w:val="28"/>
        <w:lang w:val="zh-CN"/>
      </w:rPr>
      <w:t>2</w:t>
    </w:r>
    <w:r w:rsidR="006E7C00" w:rsidRPr="00AB2821">
      <w:rPr>
        <w:sz w:val="28"/>
        <w:szCs w:val="28"/>
      </w:rPr>
      <w:fldChar w:fldCharType="end"/>
    </w:r>
    <w:r w:rsidRPr="00AB2821">
      <w:rPr>
        <w:rFonts w:hint="eastAsia"/>
        <w:sz w:val="28"/>
        <w:szCs w:val="28"/>
      </w:rPr>
      <w:t>—</w:t>
    </w:r>
  </w:p>
  <w:p w:rsidR="00A73EB3" w:rsidRDefault="00EC0A41" w:rsidP="00A73EB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25" w:rsidRPr="00AB2821" w:rsidRDefault="006A3982" w:rsidP="00AB2821">
    <w:pPr>
      <w:pStyle w:val="a4"/>
      <w:wordWrap w:val="0"/>
      <w:jc w:val="right"/>
      <w:rPr>
        <w:sz w:val="28"/>
        <w:szCs w:val="28"/>
      </w:rPr>
    </w:pPr>
    <w:r w:rsidRPr="00AB2821">
      <w:rPr>
        <w:rFonts w:hint="eastAsia"/>
        <w:sz w:val="28"/>
        <w:szCs w:val="28"/>
      </w:rPr>
      <w:t>—</w:t>
    </w:r>
    <w:r w:rsidR="006E7C00" w:rsidRPr="00AB2821">
      <w:rPr>
        <w:sz w:val="28"/>
        <w:szCs w:val="28"/>
      </w:rPr>
      <w:fldChar w:fldCharType="begin"/>
    </w:r>
    <w:r w:rsidRPr="00AB2821">
      <w:rPr>
        <w:sz w:val="28"/>
        <w:szCs w:val="28"/>
      </w:rPr>
      <w:instrText>PAGE   \* MERGEFORMAT</w:instrText>
    </w:r>
    <w:r w:rsidR="006E7C00" w:rsidRPr="00AB2821">
      <w:rPr>
        <w:sz w:val="28"/>
        <w:szCs w:val="28"/>
      </w:rPr>
      <w:fldChar w:fldCharType="separate"/>
    </w:r>
    <w:r w:rsidR="003611CF" w:rsidRPr="003611CF">
      <w:rPr>
        <w:noProof/>
        <w:sz w:val="28"/>
        <w:szCs w:val="28"/>
        <w:lang w:val="zh-CN"/>
      </w:rPr>
      <w:t>6</w:t>
    </w:r>
    <w:r w:rsidR="006E7C00" w:rsidRPr="00AB2821">
      <w:rPr>
        <w:sz w:val="28"/>
        <w:szCs w:val="28"/>
      </w:rPr>
      <w:fldChar w:fldCharType="end"/>
    </w:r>
    <w:r w:rsidRPr="00AB2821">
      <w:rPr>
        <w:rFonts w:hint="eastAsia"/>
        <w:sz w:val="28"/>
        <w:szCs w:val="28"/>
      </w:rPr>
      <w:t>—</w:t>
    </w:r>
    <w:r w:rsidRPr="00AB2821">
      <w:rPr>
        <w:rFonts w:hint="eastAsia"/>
        <w:color w:val="FFFFFF"/>
        <w:sz w:val="28"/>
        <w:szCs w:val="28"/>
      </w:rPr>
      <w:t>—</w:t>
    </w:r>
  </w:p>
  <w:p w:rsidR="00A73EB3" w:rsidRPr="00AB2821" w:rsidRDefault="00EC0A41" w:rsidP="00AB2821">
    <w:pPr>
      <w:pStyle w:val="a4"/>
      <w:wordWrap w:val="0"/>
      <w:ind w:right="360" w:firstLine="360"/>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A41" w:rsidRDefault="00EC0A41" w:rsidP="005368CC">
      <w:r>
        <w:separator/>
      </w:r>
    </w:p>
  </w:footnote>
  <w:footnote w:type="continuationSeparator" w:id="1">
    <w:p w:rsidR="00EC0A41" w:rsidRDefault="00EC0A41" w:rsidP="005368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368"/>
    <w:rsid w:val="003611CF"/>
    <w:rsid w:val="003C66B1"/>
    <w:rsid w:val="00463482"/>
    <w:rsid w:val="004905D9"/>
    <w:rsid w:val="005368CC"/>
    <w:rsid w:val="006A3982"/>
    <w:rsid w:val="006E7C00"/>
    <w:rsid w:val="00794368"/>
    <w:rsid w:val="00EC0A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8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8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68CC"/>
    <w:rPr>
      <w:sz w:val="18"/>
      <w:szCs w:val="18"/>
    </w:rPr>
  </w:style>
  <w:style w:type="paragraph" w:styleId="a4">
    <w:name w:val="footer"/>
    <w:basedOn w:val="a"/>
    <w:link w:val="Char0"/>
    <w:uiPriority w:val="99"/>
    <w:unhideWhenUsed/>
    <w:rsid w:val="005368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68CC"/>
    <w:rPr>
      <w:sz w:val="18"/>
      <w:szCs w:val="18"/>
    </w:rPr>
  </w:style>
  <w:style w:type="paragraph" w:styleId="a5">
    <w:name w:val="Balloon Text"/>
    <w:basedOn w:val="a"/>
    <w:link w:val="Char1"/>
    <w:uiPriority w:val="99"/>
    <w:semiHidden/>
    <w:unhideWhenUsed/>
    <w:rsid w:val="005368CC"/>
    <w:rPr>
      <w:sz w:val="18"/>
      <w:szCs w:val="18"/>
    </w:rPr>
  </w:style>
  <w:style w:type="character" w:customStyle="1" w:styleId="Char1">
    <w:name w:val="批注框文本 Char"/>
    <w:basedOn w:val="a0"/>
    <w:link w:val="a5"/>
    <w:uiPriority w:val="99"/>
    <w:semiHidden/>
    <w:rsid w:val="005368C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8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8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68CC"/>
    <w:rPr>
      <w:sz w:val="18"/>
      <w:szCs w:val="18"/>
    </w:rPr>
  </w:style>
  <w:style w:type="paragraph" w:styleId="a4">
    <w:name w:val="footer"/>
    <w:basedOn w:val="a"/>
    <w:link w:val="Char0"/>
    <w:uiPriority w:val="99"/>
    <w:unhideWhenUsed/>
    <w:rsid w:val="005368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68CC"/>
    <w:rPr>
      <w:sz w:val="18"/>
      <w:szCs w:val="18"/>
    </w:rPr>
  </w:style>
  <w:style w:type="paragraph" w:styleId="a5">
    <w:name w:val="Balloon Text"/>
    <w:basedOn w:val="a"/>
    <w:link w:val="Char1"/>
    <w:uiPriority w:val="99"/>
    <w:semiHidden/>
    <w:unhideWhenUsed/>
    <w:rsid w:val="005368CC"/>
    <w:rPr>
      <w:sz w:val="18"/>
      <w:szCs w:val="18"/>
    </w:rPr>
  </w:style>
  <w:style w:type="character" w:customStyle="1" w:styleId="Char1">
    <w:name w:val="批注框文本 Char"/>
    <w:basedOn w:val="a0"/>
    <w:link w:val="a5"/>
    <w:uiPriority w:val="99"/>
    <w:semiHidden/>
    <w:rsid w:val="005368C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363</Words>
  <Characters>2071</Characters>
  <Application>Microsoft Office Word</Application>
  <DocSecurity>0</DocSecurity>
  <Lines>17</Lines>
  <Paragraphs>4</Paragraphs>
  <ScaleCrop>false</ScaleCrop>
  <Company>CFDA</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2</cp:revision>
  <dcterms:created xsi:type="dcterms:W3CDTF">2017-02-17T02:57:00Z</dcterms:created>
  <dcterms:modified xsi:type="dcterms:W3CDTF">2017-02-17T02:57:00Z</dcterms:modified>
</cp:coreProperties>
</file>