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19" w:rsidRDefault="00856019" w:rsidP="00856019">
      <w:pPr>
        <w:rPr>
          <w:rFonts w:ascii="黑体" w:eastAsia="黑体" w:hAnsi="华文仿宋"/>
          <w:sz w:val="32"/>
          <w:szCs w:val="32"/>
        </w:rPr>
      </w:pPr>
      <w:r w:rsidRPr="004A48F4">
        <w:rPr>
          <w:rFonts w:ascii="黑体" w:eastAsia="黑体" w:hAnsi="华文仿宋" w:hint="eastAsia"/>
          <w:sz w:val="32"/>
          <w:szCs w:val="32"/>
        </w:rPr>
        <w:t>附件</w:t>
      </w:r>
    </w:p>
    <w:p w:rsidR="00856019" w:rsidRPr="004A48F4" w:rsidRDefault="00856019" w:rsidP="00856019">
      <w:pPr>
        <w:jc w:val="center"/>
        <w:rPr>
          <w:rFonts w:ascii="黑体" w:eastAsia="黑体" w:hAnsi="华文仿宋"/>
          <w:sz w:val="32"/>
          <w:szCs w:val="32"/>
        </w:rPr>
      </w:pPr>
    </w:p>
    <w:p w:rsidR="00856019" w:rsidRDefault="00856019" w:rsidP="00856019">
      <w:pPr>
        <w:spacing w:line="640" w:lineRule="exact"/>
        <w:jc w:val="center"/>
        <w:rPr>
          <w:rFonts w:eastAsia="方正小标宋简体"/>
          <w:sz w:val="44"/>
          <w:szCs w:val="44"/>
        </w:rPr>
      </w:pPr>
      <w:r w:rsidRPr="00025C61">
        <w:rPr>
          <w:rFonts w:eastAsia="方正小标宋简体" w:hint="eastAsia"/>
          <w:sz w:val="44"/>
          <w:szCs w:val="44"/>
        </w:rPr>
        <w:t>单唾液酸四己糖神经节苷脂钠注射剂</w:t>
      </w:r>
    </w:p>
    <w:p w:rsidR="00856019" w:rsidRDefault="00856019" w:rsidP="00856019">
      <w:pPr>
        <w:spacing w:line="640" w:lineRule="exact"/>
        <w:jc w:val="center"/>
        <w:rPr>
          <w:rFonts w:ascii="仿宋_GB2312" w:eastAsia="仿宋_GB2312" w:hAnsi="华文仿宋"/>
          <w:sz w:val="32"/>
          <w:szCs w:val="32"/>
        </w:rPr>
      </w:pPr>
      <w:r w:rsidRPr="0052095B">
        <w:rPr>
          <w:rFonts w:eastAsia="方正小标宋简体"/>
          <w:sz w:val="44"/>
          <w:szCs w:val="44"/>
        </w:rPr>
        <w:t>说明书修订要求</w:t>
      </w:r>
    </w:p>
    <w:p w:rsidR="00856019" w:rsidRPr="00025C61" w:rsidRDefault="00856019" w:rsidP="00856019">
      <w:pPr>
        <w:spacing w:line="520" w:lineRule="exact"/>
        <w:jc w:val="center"/>
        <w:rPr>
          <w:rFonts w:ascii="仿宋_GB2312" w:eastAsia="仿宋_GB2312" w:hAnsi="华文仿宋"/>
          <w:sz w:val="32"/>
          <w:szCs w:val="32"/>
        </w:rPr>
      </w:pPr>
    </w:p>
    <w:p w:rsidR="00856019" w:rsidRPr="00F11883" w:rsidRDefault="00856019" w:rsidP="00856019">
      <w:pPr>
        <w:pStyle w:val="a5"/>
        <w:numPr>
          <w:ilvl w:val="0"/>
          <w:numId w:val="1"/>
        </w:numPr>
        <w:spacing w:line="520" w:lineRule="exact"/>
        <w:ind w:left="0" w:firstLine="640"/>
        <w:rPr>
          <w:rFonts w:ascii="黑体" w:eastAsia="黑体" w:hAnsi="黑体"/>
          <w:sz w:val="32"/>
          <w:szCs w:val="32"/>
        </w:rPr>
      </w:pPr>
      <w:r w:rsidRPr="00F11883">
        <w:rPr>
          <w:rFonts w:ascii="黑体" w:eastAsia="黑体" w:hAnsi="黑体" w:hint="eastAsia"/>
          <w:sz w:val="32"/>
          <w:szCs w:val="32"/>
        </w:rPr>
        <w:t>增加【警示语】，内容如下：</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hint="eastAsia"/>
          <w:sz w:val="32"/>
          <w:szCs w:val="32"/>
        </w:rPr>
        <w:t>国</w:t>
      </w:r>
      <w:r w:rsidRPr="00F11883">
        <w:rPr>
          <w:rFonts w:eastAsia="仿宋_GB2312" w:hint="eastAsia"/>
          <w:spacing w:val="2"/>
          <w:sz w:val="32"/>
          <w:szCs w:val="32"/>
        </w:rPr>
        <w:t>内外药品上市后监测中发现可能与使用神经节苷脂产品相关的急性炎症性脱髓鞘性多发性神经病（又称吉兰</w:t>
      </w:r>
      <w:r w:rsidRPr="00F11883">
        <w:rPr>
          <w:rFonts w:eastAsia="仿宋_GB2312"/>
          <w:spacing w:val="2"/>
          <w:sz w:val="32"/>
          <w:szCs w:val="32"/>
        </w:rPr>
        <w:t>-</w:t>
      </w:r>
      <w:r w:rsidRPr="00F11883">
        <w:rPr>
          <w:rFonts w:eastAsia="仿宋_GB2312" w:hint="eastAsia"/>
          <w:spacing w:val="2"/>
          <w:sz w:val="32"/>
          <w:szCs w:val="32"/>
        </w:rPr>
        <w:t>巴雷综合征）病例。若患者在用药期间（一般在用药后</w:t>
      </w:r>
      <w:r w:rsidRPr="00F11883">
        <w:rPr>
          <w:rFonts w:eastAsia="仿宋_GB2312"/>
          <w:spacing w:val="2"/>
          <w:sz w:val="32"/>
          <w:szCs w:val="32"/>
        </w:rPr>
        <w:t>5</w:t>
      </w:r>
      <w:r w:rsidRPr="00F11883">
        <w:rPr>
          <w:rFonts w:ascii="仿宋_GB2312" w:eastAsia="仿宋_GB2312" w:hint="eastAsia"/>
          <w:spacing w:val="2"/>
          <w:sz w:val="32"/>
          <w:szCs w:val="32"/>
        </w:rPr>
        <w:t>—</w:t>
      </w:r>
      <w:r w:rsidRPr="00F11883">
        <w:rPr>
          <w:rFonts w:eastAsia="仿宋_GB2312"/>
          <w:spacing w:val="2"/>
          <w:sz w:val="32"/>
          <w:szCs w:val="32"/>
        </w:rPr>
        <w:t>10</w:t>
      </w:r>
      <w:r w:rsidRPr="00F11883">
        <w:rPr>
          <w:rFonts w:eastAsia="仿宋_GB2312" w:hint="eastAsia"/>
          <w:spacing w:val="2"/>
          <w:sz w:val="32"/>
          <w:szCs w:val="32"/>
        </w:rPr>
        <w:t>天内）出现持物不能、四肢无力、弛缓性</w:t>
      </w:r>
      <w:hyperlink r:id="rId7" w:history="1">
        <w:r w:rsidRPr="00F11883">
          <w:rPr>
            <w:rFonts w:eastAsia="仿宋_GB2312" w:hint="eastAsia"/>
            <w:spacing w:val="2"/>
            <w:sz w:val="32"/>
            <w:szCs w:val="32"/>
          </w:rPr>
          <w:t>瘫痪</w:t>
        </w:r>
      </w:hyperlink>
      <w:r w:rsidRPr="00F11883">
        <w:rPr>
          <w:rFonts w:eastAsia="仿宋_GB2312" w:hint="eastAsia"/>
          <w:spacing w:val="2"/>
          <w:sz w:val="32"/>
          <w:szCs w:val="32"/>
        </w:rPr>
        <w:t>等症状，应立即就诊。吉兰</w:t>
      </w:r>
      <w:r w:rsidRPr="00F11883">
        <w:rPr>
          <w:rFonts w:eastAsia="仿宋_GB2312"/>
          <w:spacing w:val="2"/>
          <w:sz w:val="32"/>
          <w:szCs w:val="32"/>
        </w:rPr>
        <w:t>-</w:t>
      </w:r>
      <w:r w:rsidRPr="00F11883">
        <w:rPr>
          <w:rFonts w:eastAsia="仿宋_GB2312" w:hint="eastAsia"/>
          <w:spacing w:val="2"/>
          <w:sz w:val="32"/>
          <w:szCs w:val="32"/>
        </w:rPr>
        <w:t>巴雷综合征患者禁用本品。</w:t>
      </w:r>
    </w:p>
    <w:p w:rsidR="00856019" w:rsidRPr="00F11883" w:rsidRDefault="00856019" w:rsidP="00856019">
      <w:pPr>
        <w:pStyle w:val="a5"/>
        <w:spacing w:line="520" w:lineRule="exact"/>
        <w:ind w:firstLine="640"/>
        <w:rPr>
          <w:rFonts w:ascii="黑体" w:eastAsia="黑体" w:hAnsi="黑体"/>
          <w:sz w:val="32"/>
          <w:szCs w:val="32"/>
        </w:rPr>
      </w:pPr>
      <w:r w:rsidRPr="00F11883">
        <w:rPr>
          <w:rFonts w:ascii="黑体" w:eastAsia="黑体" w:hAnsi="黑体" w:hint="eastAsia"/>
          <w:sz w:val="32"/>
          <w:szCs w:val="32"/>
        </w:rPr>
        <w:t>二、【不良反应】修订为：</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hint="eastAsia"/>
          <w:sz w:val="32"/>
          <w:szCs w:val="32"/>
        </w:rPr>
        <w:t>上市后监测中发现的不良反应</w:t>
      </w:r>
      <w:r w:rsidRPr="00F11883">
        <w:rPr>
          <w:rFonts w:eastAsia="仿宋_GB2312"/>
          <w:sz w:val="32"/>
          <w:szCs w:val="32"/>
        </w:rPr>
        <w:t>/</w:t>
      </w:r>
      <w:r w:rsidRPr="00F11883">
        <w:rPr>
          <w:rFonts w:eastAsia="仿宋_GB2312" w:hint="eastAsia"/>
          <w:sz w:val="32"/>
          <w:szCs w:val="32"/>
        </w:rPr>
        <w:t>事件为：</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1.</w:t>
      </w:r>
      <w:r w:rsidRPr="00F11883">
        <w:rPr>
          <w:rFonts w:eastAsia="仿宋_GB2312" w:hint="eastAsia"/>
          <w:sz w:val="32"/>
          <w:szCs w:val="32"/>
        </w:rPr>
        <w:t>皮肤及其附件损害：斑丘疹、红斑疹、急性荨麻疹、水疱疹、皮肤瘙痒等。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2.</w:t>
      </w:r>
      <w:r w:rsidRPr="00F11883">
        <w:rPr>
          <w:rFonts w:eastAsia="仿宋_GB2312" w:hint="eastAsia"/>
          <w:sz w:val="32"/>
          <w:szCs w:val="32"/>
        </w:rPr>
        <w:t>全身性损害：寒战、发热、乏力、面色苍白、水肿、过敏样反应、过敏反应、过敏性休克等。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3.</w:t>
      </w:r>
      <w:r w:rsidRPr="00F11883">
        <w:rPr>
          <w:rFonts w:eastAsia="仿宋_GB2312" w:hint="eastAsia"/>
          <w:sz w:val="32"/>
          <w:szCs w:val="32"/>
        </w:rPr>
        <w:t>呼吸系统损害：胸闷、呼吸困难、咳嗽等。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4.</w:t>
      </w:r>
      <w:r w:rsidRPr="00F11883">
        <w:rPr>
          <w:rFonts w:eastAsia="仿宋_GB2312"/>
          <w:sz w:val="32"/>
          <w:szCs w:val="32"/>
        </w:rPr>
        <w:t>神经系统损害及精神障碍：头晕、头痛、眩晕、局限性抽搐、局部麻木、精神障碍、吉兰</w:t>
      </w:r>
      <w:r w:rsidRPr="00F11883">
        <w:rPr>
          <w:rFonts w:eastAsia="仿宋_GB2312"/>
          <w:sz w:val="32"/>
          <w:szCs w:val="32"/>
        </w:rPr>
        <w:t>-</w:t>
      </w:r>
      <w:r w:rsidRPr="00F11883">
        <w:rPr>
          <w:rFonts w:eastAsia="仿宋_GB2312"/>
          <w:sz w:val="32"/>
          <w:szCs w:val="32"/>
        </w:rPr>
        <w:t>巴雷综合征等。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5.</w:t>
      </w:r>
      <w:r w:rsidRPr="00F11883">
        <w:rPr>
          <w:rFonts w:eastAsia="仿宋_GB2312" w:hint="eastAsia"/>
          <w:sz w:val="32"/>
          <w:szCs w:val="32"/>
        </w:rPr>
        <w:t>胃肠系统损害：恶心、呕吐、腹泻、腹痛、胃部不适等。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6.</w:t>
      </w:r>
      <w:r w:rsidRPr="00F11883">
        <w:rPr>
          <w:rFonts w:eastAsia="仿宋_GB2312" w:hint="eastAsia"/>
          <w:sz w:val="32"/>
          <w:szCs w:val="32"/>
        </w:rPr>
        <w:t>心血管系统损害：心悸、心动过速、紫绀、潮红、血压升高，血压降低、静脉炎等。</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7.</w:t>
      </w:r>
      <w:r w:rsidRPr="00F11883">
        <w:rPr>
          <w:rFonts w:eastAsia="仿宋_GB2312" w:hint="eastAsia"/>
          <w:sz w:val="32"/>
          <w:szCs w:val="32"/>
        </w:rPr>
        <w:t>其他：注射部位疼痛、肝功能异常等。</w:t>
      </w:r>
    </w:p>
    <w:p w:rsidR="00856019" w:rsidRPr="00F11883" w:rsidRDefault="00856019" w:rsidP="00856019">
      <w:pPr>
        <w:pStyle w:val="a5"/>
        <w:spacing w:line="520" w:lineRule="exact"/>
        <w:ind w:firstLine="640"/>
        <w:rPr>
          <w:rFonts w:ascii="黑体" w:eastAsia="黑体" w:hAnsi="黑体"/>
          <w:sz w:val="32"/>
          <w:szCs w:val="32"/>
        </w:rPr>
      </w:pPr>
      <w:r w:rsidRPr="00F11883">
        <w:rPr>
          <w:rFonts w:ascii="黑体" w:eastAsia="黑体" w:hAnsi="黑体" w:hint="eastAsia"/>
          <w:sz w:val="32"/>
          <w:szCs w:val="32"/>
        </w:rPr>
        <w:lastRenderedPageBreak/>
        <w:t>三、【禁忌】修订为：</w:t>
      </w:r>
    </w:p>
    <w:p w:rsidR="00856019" w:rsidRPr="00F11883" w:rsidRDefault="00856019" w:rsidP="00856019">
      <w:pPr>
        <w:spacing w:line="520" w:lineRule="exact"/>
        <w:ind w:firstLineChars="200" w:firstLine="640"/>
        <w:rPr>
          <w:rFonts w:eastAsia="仿宋_GB2312"/>
          <w:sz w:val="32"/>
          <w:szCs w:val="32"/>
        </w:rPr>
      </w:pPr>
      <w:r w:rsidRPr="00F11883">
        <w:rPr>
          <w:rFonts w:eastAsia="仿宋_GB2312" w:hint="eastAsia"/>
          <w:sz w:val="32"/>
          <w:szCs w:val="32"/>
        </w:rPr>
        <w:t>以下患者禁用本品：</w:t>
      </w:r>
    </w:p>
    <w:p w:rsidR="00856019" w:rsidRPr="00F11883" w:rsidRDefault="00856019" w:rsidP="00856019">
      <w:pPr>
        <w:spacing w:line="520" w:lineRule="exact"/>
        <w:ind w:firstLineChars="200" w:firstLine="640"/>
        <w:rPr>
          <w:rFonts w:eastAsia="仿宋_GB2312"/>
          <w:sz w:val="32"/>
          <w:szCs w:val="32"/>
        </w:rPr>
      </w:pPr>
      <w:r w:rsidRPr="00F11883">
        <w:rPr>
          <w:rFonts w:eastAsia="仿宋_GB2312"/>
          <w:sz w:val="32"/>
          <w:szCs w:val="32"/>
        </w:rPr>
        <w:t>1.</w:t>
      </w:r>
      <w:r w:rsidRPr="00F11883">
        <w:rPr>
          <w:rFonts w:eastAsia="仿宋_GB2312" w:hint="eastAsia"/>
          <w:sz w:val="32"/>
          <w:szCs w:val="32"/>
        </w:rPr>
        <w:t>对单唾液酸四己糖神经节苷脂钠过敏或其辅料过敏者；</w:t>
      </w:r>
    </w:p>
    <w:p w:rsidR="00856019" w:rsidRPr="00F11883" w:rsidRDefault="00856019" w:rsidP="00856019">
      <w:pPr>
        <w:spacing w:line="520" w:lineRule="exact"/>
        <w:ind w:firstLineChars="200" w:firstLine="640"/>
        <w:rPr>
          <w:rFonts w:eastAsia="仿宋_GB2312"/>
          <w:sz w:val="32"/>
          <w:szCs w:val="32"/>
        </w:rPr>
      </w:pPr>
      <w:r w:rsidRPr="00F11883">
        <w:rPr>
          <w:rFonts w:eastAsia="仿宋_GB2312"/>
          <w:sz w:val="32"/>
          <w:szCs w:val="32"/>
        </w:rPr>
        <w:t>2.</w:t>
      </w:r>
      <w:r w:rsidRPr="00F11883">
        <w:rPr>
          <w:rFonts w:eastAsia="仿宋_GB2312" w:hint="eastAsia"/>
          <w:sz w:val="32"/>
          <w:szCs w:val="32"/>
        </w:rPr>
        <w:t>遗传性糖脂代谢异常（神经节苷脂累积病，如：家族性黑蒙性痴呆、视网膜变性病）患者；</w:t>
      </w:r>
    </w:p>
    <w:p w:rsidR="00856019" w:rsidRPr="00F11883" w:rsidRDefault="00856019" w:rsidP="00856019">
      <w:pPr>
        <w:spacing w:line="520" w:lineRule="exact"/>
        <w:ind w:firstLineChars="200" w:firstLine="640"/>
        <w:rPr>
          <w:rFonts w:eastAsia="仿宋_GB2312"/>
          <w:sz w:val="32"/>
          <w:szCs w:val="32"/>
        </w:rPr>
      </w:pPr>
      <w:r w:rsidRPr="00F11883">
        <w:rPr>
          <w:rFonts w:eastAsia="仿宋_GB2312"/>
          <w:sz w:val="32"/>
          <w:szCs w:val="32"/>
        </w:rPr>
        <w:t>3.</w:t>
      </w:r>
      <w:r w:rsidRPr="00F11883">
        <w:rPr>
          <w:rFonts w:eastAsia="仿宋_GB2312" w:hint="eastAsia"/>
          <w:sz w:val="32"/>
          <w:szCs w:val="32"/>
        </w:rPr>
        <w:t>急性炎症性脱髓鞘性多发性神经病（</w:t>
      </w:r>
      <w:bookmarkStart w:id="0" w:name="OLE_LINK7"/>
      <w:bookmarkStart w:id="1" w:name="OLE_LINK8"/>
      <w:r w:rsidRPr="00F11883">
        <w:rPr>
          <w:rFonts w:eastAsia="仿宋_GB2312" w:hint="eastAsia"/>
          <w:sz w:val="32"/>
          <w:szCs w:val="32"/>
        </w:rPr>
        <w:t>又称吉兰</w:t>
      </w:r>
      <w:r w:rsidRPr="00F11883">
        <w:rPr>
          <w:rFonts w:eastAsia="仿宋_GB2312"/>
          <w:sz w:val="32"/>
          <w:szCs w:val="32"/>
        </w:rPr>
        <w:t>-</w:t>
      </w:r>
      <w:r w:rsidRPr="00F11883">
        <w:rPr>
          <w:rFonts w:eastAsia="仿宋_GB2312" w:hint="eastAsia"/>
          <w:sz w:val="32"/>
          <w:szCs w:val="32"/>
        </w:rPr>
        <w:t>巴雷综合征</w:t>
      </w:r>
      <w:bookmarkEnd w:id="0"/>
      <w:bookmarkEnd w:id="1"/>
      <w:r w:rsidRPr="00F11883">
        <w:rPr>
          <w:rFonts w:eastAsia="仿宋_GB2312" w:hint="eastAsia"/>
          <w:sz w:val="32"/>
          <w:szCs w:val="32"/>
        </w:rPr>
        <w:t>）患者。</w:t>
      </w:r>
    </w:p>
    <w:p w:rsidR="00856019" w:rsidRPr="00F11883" w:rsidRDefault="00856019" w:rsidP="00856019">
      <w:pPr>
        <w:pStyle w:val="a5"/>
        <w:spacing w:line="520" w:lineRule="exact"/>
        <w:ind w:firstLine="640"/>
        <w:rPr>
          <w:rFonts w:ascii="黑体" w:eastAsia="黑体" w:hAnsi="黑体"/>
          <w:sz w:val="32"/>
          <w:szCs w:val="32"/>
        </w:rPr>
      </w:pPr>
      <w:r w:rsidRPr="00F11883">
        <w:rPr>
          <w:rFonts w:ascii="黑体" w:eastAsia="黑体" w:hAnsi="黑体" w:hint="eastAsia"/>
          <w:sz w:val="32"/>
          <w:szCs w:val="32"/>
        </w:rPr>
        <w:t>四、【注意事项】增加：</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1</w:t>
      </w:r>
      <w:r>
        <w:rPr>
          <w:rFonts w:eastAsia="仿宋_GB2312" w:hint="eastAsia"/>
          <w:sz w:val="32"/>
          <w:szCs w:val="32"/>
        </w:rPr>
        <w:t>.</w:t>
      </w:r>
      <w:r w:rsidRPr="00F11883">
        <w:rPr>
          <w:rFonts w:eastAsia="仿宋_GB2312" w:hint="eastAsia"/>
          <w:sz w:val="32"/>
          <w:szCs w:val="32"/>
        </w:rPr>
        <w:t>国内外药品上市后监测中发现可能与使用神经节苷脂产品相关的吉兰</w:t>
      </w:r>
      <w:r w:rsidRPr="00F11883">
        <w:rPr>
          <w:rFonts w:eastAsia="仿宋_GB2312"/>
          <w:sz w:val="32"/>
          <w:szCs w:val="32"/>
        </w:rPr>
        <w:t>-</w:t>
      </w:r>
      <w:r w:rsidRPr="00F11883">
        <w:rPr>
          <w:rFonts w:eastAsia="仿宋_GB2312" w:hint="eastAsia"/>
          <w:sz w:val="32"/>
          <w:szCs w:val="32"/>
        </w:rPr>
        <w:t>巴雷综合征病例。若患者在用药期间（一般在用药后</w:t>
      </w:r>
      <w:r w:rsidRPr="00F11883">
        <w:rPr>
          <w:rFonts w:eastAsia="仿宋_GB2312"/>
          <w:sz w:val="32"/>
          <w:szCs w:val="32"/>
        </w:rPr>
        <w:t>5</w:t>
      </w:r>
      <w:r w:rsidRPr="00F11883">
        <w:rPr>
          <w:rFonts w:ascii="仿宋_GB2312" w:eastAsia="仿宋_GB2312" w:hint="eastAsia"/>
          <w:sz w:val="32"/>
          <w:szCs w:val="32"/>
        </w:rPr>
        <w:t>—</w:t>
      </w:r>
      <w:r w:rsidRPr="00F11883">
        <w:rPr>
          <w:rFonts w:eastAsia="仿宋_GB2312"/>
          <w:sz w:val="32"/>
          <w:szCs w:val="32"/>
        </w:rPr>
        <w:t>10</w:t>
      </w:r>
      <w:r w:rsidRPr="00F11883">
        <w:rPr>
          <w:rFonts w:eastAsia="仿宋_GB2312" w:hint="eastAsia"/>
          <w:sz w:val="32"/>
          <w:szCs w:val="32"/>
        </w:rPr>
        <w:t>天内）出现持物不能、四肢无力、弛缓性</w:t>
      </w:r>
      <w:hyperlink r:id="rId8" w:history="1">
        <w:r w:rsidRPr="00F11883">
          <w:rPr>
            <w:rFonts w:eastAsia="仿宋_GB2312" w:hint="eastAsia"/>
            <w:sz w:val="32"/>
            <w:szCs w:val="32"/>
          </w:rPr>
          <w:t>瘫痪</w:t>
        </w:r>
      </w:hyperlink>
      <w:r w:rsidRPr="00F11883">
        <w:rPr>
          <w:rFonts w:eastAsia="仿宋_GB2312" w:hint="eastAsia"/>
          <w:sz w:val="32"/>
          <w:szCs w:val="32"/>
        </w:rPr>
        <w:t>等症状，应立即就诊。吉兰</w:t>
      </w:r>
      <w:r w:rsidRPr="00F11883">
        <w:rPr>
          <w:rFonts w:eastAsia="仿宋_GB2312"/>
          <w:sz w:val="32"/>
          <w:szCs w:val="32"/>
        </w:rPr>
        <w:t>-</w:t>
      </w:r>
      <w:r w:rsidRPr="00F11883">
        <w:rPr>
          <w:rFonts w:eastAsia="仿宋_GB2312" w:hint="eastAsia"/>
          <w:sz w:val="32"/>
          <w:szCs w:val="32"/>
        </w:rPr>
        <w:t>巴雷综合征患者禁用本品，自身免疫性疾病患者慎用本品。</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sz w:val="32"/>
          <w:szCs w:val="32"/>
        </w:rPr>
        <w:t>2</w:t>
      </w:r>
      <w:r>
        <w:rPr>
          <w:rFonts w:eastAsia="仿宋_GB2312" w:hint="eastAsia"/>
          <w:sz w:val="32"/>
          <w:szCs w:val="32"/>
        </w:rPr>
        <w:t>.</w:t>
      </w:r>
      <w:r w:rsidRPr="00F11883">
        <w:rPr>
          <w:rFonts w:eastAsia="仿宋_GB2312" w:hint="eastAsia"/>
          <w:sz w:val="32"/>
          <w:szCs w:val="32"/>
        </w:rPr>
        <w:t>使用本品可能出现寒战、发热症状，并可能伴有皮疹、呼吸困难、心悸、呕吐等。输液过程中应尽量减慢滴速，注意对患者进行监护，出现上述症状应立即停药救治。</w:t>
      </w:r>
    </w:p>
    <w:p w:rsidR="00856019" w:rsidRPr="00F11883" w:rsidRDefault="00856019" w:rsidP="00856019">
      <w:pPr>
        <w:pStyle w:val="a5"/>
        <w:spacing w:line="520" w:lineRule="exact"/>
        <w:ind w:firstLine="640"/>
        <w:rPr>
          <w:rFonts w:ascii="黑体" w:eastAsia="黑体" w:hAnsi="黑体"/>
          <w:sz w:val="32"/>
          <w:szCs w:val="32"/>
        </w:rPr>
      </w:pPr>
      <w:r w:rsidRPr="00F11883">
        <w:rPr>
          <w:rFonts w:ascii="黑体" w:eastAsia="黑体" w:hAnsi="黑体" w:hint="eastAsia"/>
          <w:sz w:val="32"/>
          <w:szCs w:val="32"/>
        </w:rPr>
        <w:t>五、【儿童用药】修订为：</w:t>
      </w:r>
    </w:p>
    <w:p w:rsidR="00856019" w:rsidRPr="00F11883" w:rsidRDefault="00856019" w:rsidP="00856019">
      <w:pPr>
        <w:pStyle w:val="a5"/>
        <w:spacing w:line="520" w:lineRule="exact"/>
        <w:ind w:firstLine="640"/>
        <w:rPr>
          <w:rFonts w:eastAsia="仿宋_GB2312"/>
          <w:sz w:val="32"/>
          <w:szCs w:val="32"/>
        </w:rPr>
      </w:pPr>
      <w:r w:rsidRPr="00F11883">
        <w:rPr>
          <w:rFonts w:eastAsia="仿宋_GB2312" w:hint="eastAsia"/>
          <w:sz w:val="32"/>
          <w:szCs w:val="32"/>
        </w:rPr>
        <w:t>儿童使用该产品的安全性研究数据尚不充分。</w:t>
      </w:r>
    </w:p>
    <w:p w:rsidR="00856019" w:rsidRPr="00F11883" w:rsidRDefault="00856019" w:rsidP="00856019">
      <w:pPr>
        <w:pStyle w:val="a5"/>
        <w:spacing w:line="520" w:lineRule="exact"/>
        <w:ind w:firstLine="640"/>
        <w:rPr>
          <w:rFonts w:ascii="黑体" w:eastAsia="黑体" w:hAnsi="黑体"/>
          <w:bCs/>
          <w:sz w:val="32"/>
          <w:szCs w:val="32"/>
        </w:rPr>
      </w:pPr>
      <w:r w:rsidRPr="00F11883">
        <w:rPr>
          <w:rFonts w:ascii="黑体" w:eastAsia="黑体" w:hAnsi="黑体" w:hint="eastAsia"/>
          <w:sz w:val="32"/>
          <w:szCs w:val="32"/>
        </w:rPr>
        <w:t>六、【老年用药】修订为：</w:t>
      </w:r>
    </w:p>
    <w:p w:rsidR="008650AE" w:rsidRPr="000D5B7E" w:rsidRDefault="00856019" w:rsidP="000D5B7E">
      <w:pPr>
        <w:pStyle w:val="a5"/>
        <w:spacing w:line="520" w:lineRule="exact"/>
        <w:ind w:firstLine="640"/>
        <w:rPr>
          <w:rFonts w:eastAsia="仿宋_GB2312"/>
          <w:sz w:val="32"/>
          <w:szCs w:val="32"/>
        </w:rPr>
      </w:pPr>
      <w:r w:rsidRPr="00F11883">
        <w:rPr>
          <w:rFonts w:eastAsia="仿宋_GB2312" w:hint="eastAsia"/>
          <w:sz w:val="32"/>
          <w:szCs w:val="32"/>
        </w:rPr>
        <w:t>老年人使用该产品的安全性研究数据尚不充分。</w:t>
      </w:r>
    </w:p>
    <w:sectPr w:rsidR="008650AE" w:rsidRPr="000D5B7E" w:rsidSect="00F11883">
      <w:footerReference w:type="even" r:id="rId9"/>
      <w:footerReference w:type="default" r:id="rId10"/>
      <w:pgSz w:w="11906" w:h="16838"/>
      <w:pgMar w:top="1928" w:right="1531" w:bottom="1701"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C1" w:rsidRDefault="00B709C1" w:rsidP="00856019">
      <w:r>
        <w:separator/>
      </w:r>
    </w:p>
  </w:endnote>
  <w:endnote w:type="continuationSeparator" w:id="1">
    <w:p w:rsidR="00B709C1" w:rsidRDefault="00B709C1" w:rsidP="00856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0C" w:rsidRPr="00F11883" w:rsidRDefault="00E90A32">
    <w:pPr>
      <w:pStyle w:val="a4"/>
      <w:rPr>
        <w:sz w:val="28"/>
        <w:szCs w:val="28"/>
      </w:rPr>
    </w:pPr>
    <w:r w:rsidRPr="00F11883">
      <w:rPr>
        <w:rFonts w:hint="eastAsia"/>
        <w:color w:val="FFFFFF" w:themeColor="background1"/>
        <w:sz w:val="28"/>
        <w:szCs w:val="28"/>
      </w:rPr>
      <w:t>—</w:t>
    </w:r>
    <w:r w:rsidRPr="00F11883">
      <w:rPr>
        <w:rFonts w:hint="eastAsia"/>
        <w:sz w:val="28"/>
        <w:szCs w:val="28"/>
      </w:rPr>
      <w:t>—</w:t>
    </w:r>
    <w:sdt>
      <w:sdtPr>
        <w:rPr>
          <w:sz w:val="28"/>
          <w:szCs w:val="28"/>
        </w:rPr>
        <w:id w:val="-1939751094"/>
        <w:docPartObj>
          <w:docPartGallery w:val="Page Numbers (Bottom of Page)"/>
          <w:docPartUnique/>
        </w:docPartObj>
      </w:sdtPr>
      <w:sdtContent>
        <w:r w:rsidR="00C7014F" w:rsidRPr="00F11883">
          <w:rPr>
            <w:sz w:val="28"/>
            <w:szCs w:val="28"/>
          </w:rPr>
          <w:fldChar w:fldCharType="begin"/>
        </w:r>
        <w:r w:rsidRPr="00F11883">
          <w:rPr>
            <w:sz w:val="28"/>
            <w:szCs w:val="28"/>
          </w:rPr>
          <w:instrText>PAGE   \* MERGEFORMAT</w:instrText>
        </w:r>
        <w:r w:rsidR="00C7014F" w:rsidRPr="00F11883">
          <w:rPr>
            <w:sz w:val="28"/>
            <w:szCs w:val="28"/>
          </w:rPr>
          <w:fldChar w:fldCharType="separate"/>
        </w:r>
        <w:r w:rsidRPr="00487BFA">
          <w:rPr>
            <w:noProof/>
            <w:sz w:val="28"/>
            <w:szCs w:val="28"/>
            <w:lang w:val="zh-CN"/>
          </w:rPr>
          <w:t>4</w:t>
        </w:r>
        <w:r w:rsidR="00C7014F" w:rsidRPr="00F11883">
          <w:rPr>
            <w:sz w:val="28"/>
            <w:szCs w:val="28"/>
          </w:rPr>
          <w:fldChar w:fldCharType="end"/>
        </w:r>
        <w:r w:rsidRPr="00F11883">
          <w:rPr>
            <w:rFonts w:hint="eastAsia"/>
            <w:sz w:val="28"/>
            <w:szCs w:val="28"/>
          </w:rPr>
          <w:t>—</w:t>
        </w:r>
      </w:sdtContent>
    </w:sdt>
  </w:p>
  <w:p w:rsidR="009A1829" w:rsidRDefault="00B709C1"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0C" w:rsidRPr="00F11883" w:rsidRDefault="00E90A32">
    <w:pPr>
      <w:pStyle w:val="a4"/>
      <w:jc w:val="right"/>
      <w:rPr>
        <w:sz w:val="28"/>
        <w:szCs w:val="28"/>
      </w:rPr>
    </w:pPr>
    <w:r w:rsidRPr="00F11883">
      <w:rPr>
        <w:rFonts w:hint="eastAsia"/>
        <w:sz w:val="28"/>
        <w:szCs w:val="28"/>
      </w:rPr>
      <w:t>—</w:t>
    </w:r>
    <w:sdt>
      <w:sdtPr>
        <w:rPr>
          <w:sz w:val="28"/>
          <w:szCs w:val="28"/>
        </w:rPr>
        <w:id w:val="224342193"/>
        <w:docPartObj>
          <w:docPartGallery w:val="Page Numbers (Bottom of Page)"/>
          <w:docPartUnique/>
        </w:docPartObj>
      </w:sdtPr>
      <w:sdtEndPr>
        <w:rPr>
          <w:color w:val="FFFFFF" w:themeColor="background1"/>
        </w:rPr>
      </w:sdtEndPr>
      <w:sdtContent>
        <w:r w:rsidR="00C7014F" w:rsidRPr="00F11883">
          <w:rPr>
            <w:sz w:val="28"/>
            <w:szCs w:val="28"/>
          </w:rPr>
          <w:fldChar w:fldCharType="begin"/>
        </w:r>
        <w:r w:rsidRPr="00F11883">
          <w:rPr>
            <w:sz w:val="28"/>
            <w:szCs w:val="28"/>
          </w:rPr>
          <w:instrText>PAGE   \* MERGEFORMAT</w:instrText>
        </w:r>
        <w:r w:rsidR="00C7014F" w:rsidRPr="00F11883">
          <w:rPr>
            <w:sz w:val="28"/>
            <w:szCs w:val="28"/>
          </w:rPr>
          <w:fldChar w:fldCharType="separate"/>
        </w:r>
        <w:r w:rsidR="000D5B7E" w:rsidRPr="000D5B7E">
          <w:rPr>
            <w:noProof/>
            <w:sz w:val="28"/>
            <w:szCs w:val="28"/>
            <w:lang w:val="zh-CN"/>
          </w:rPr>
          <w:t>2</w:t>
        </w:r>
        <w:r w:rsidR="00C7014F" w:rsidRPr="00F11883">
          <w:rPr>
            <w:sz w:val="28"/>
            <w:szCs w:val="28"/>
          </w:rPr>
          <w:fldChar w:fldCharType="end"/>
        </w:r>
        <w:r w:rsidRPr="00F11883">
          <w:rPr>
            <w:rFonts w:hint="eastAsia"/>
            <w:sz w:val="28"/>
            <w:szCs w:val="28"/>
          </w:rPr>
          <w:t>—</w:t>
        </w:r>
        <w:r w:rsidRPr="00F11883">
          <w:rPr>
            <w:rFonts w:hint="eastAsia"/>
            <w:color w:val="FFFFFF" w:themeColor="background1"/>
            <w:sz w:val="28"/>
            <w:szCs w:val="28"/>
          </w:rPr>
          <w:t>—</w:t>
        </w:r>
      </w:sdtContent>
    </w:sdt>
  </w:p>
  <w:p w:rsidR="009A1829" w:rsidRDefault="00B709C1"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C1" w:rsidRDefault="00B709C1" w:rsidP="00856019">
      <w:r>
        <w:separator/>
      </w:r>
    </w:p>
  </w:footnote>
  <w:footnote w:type="continuationSeparator" w:id="1">
    <w:p w:rsidR="00B709C1" w:rsidRDefault="00B709C1" w:rsidP="00856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A1664"/>
    <w:multiLevelType w:val="hybridMultilevel"/>
    <w:tmpl w:val="08FE69FA"/>
    <w:lvl w:ilvl="0" w:tplc="5DFABA28">
      <w:start w:val="1"/>
      <w:numFmt w:val="chineseCountingThousand"/>
      <w:suff w:val="noth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33A"/>
    <w:rsid w:val="000D5B7E"/>
    <w:rsid w:val="00856019"/>
    <w:rsid w:val="008650AE"/>
    <w:rsid w:val="00AD333A"/>
    <w:rsid w:val="00B709C1"/>
    <w:rsid w:val="00C7014F"/>
    <w:rsid w:val="00E90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019"/>
    <w:rPr>
      <w:sz w:val="18"/>
      <w:szCs w:val="18"/>
    </w:rPr>
  </w:style>
  <w:style w:type="paragraph" w:styleId="a4">
    <w:name w:val="footer"/>
    <w:basedOn w:val="a"/>
    <w:link w:val="Char0"/>
    <w:uiPriority w:val="99"/>
    <w:unhideWhenUsed/>
    <w:rsid w:val="00856019"/>
    <w:pPr>
      <w:tabs>
        <w:tab w:val="center" w:pos="4153"/>
        <w:tab w:val="right" w:pos="8306"/>
      </w:tabs>
      <w:snapToGrid w:val="0"/>
      <w:jc w:val="left"/>
    </w:pPr>
    <w:rPr>
      <w:sz w:val="18"/>
      <w:szCs w:val="18"/>
    </w:rPr>
  </w:style>
  <w:style w:type="character" w:customStyle="1" w:styleId="Char0">
    <w:name w:val="页脚 Char"/>
    <w:basedOn w:val="a0"/>
    <w:link w:val="a4"/>
    <w:uiPriority w:val="99"/>
    <w:rsid w:val="00856019"/>
    <w:rPr>
      <w:sz w:val="18"/>
      <w:szCs w:val="18"/>
    </w:rPr>
  </w:style>
  <w:style w:type="paragraph" w:styleId="a5">
    <w:name w:val="List Paragraph"/>
    <w:basedOn w:val="a"/>
    <w:uiPriority w:val="34"/>
    <w:qFormat/>
    <w:rsid w:val="008560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019"/>
    <w:rPr>
      <w:sz w:val="18"/>
      <w:szCs w:val="18"/>
    </w:rPr>
  </w:style>
  <w:style w:type="paragraph" w:styleId="a4">
    <w:name w:val="footer"/>
    <w:basedOn w:val="a"/>
    <w:link w:val="Char0"/>
    <w:uiPriority w:val="99"/>
    <w:unhideWhenUsed/>
    <w:rsid w:val="00856019"/>
    <w:pPr>
      <w:tabs>
        <w:tab w:val="center" w:pos="4153"/>
        <w:tab w:val="right" w:pos="8306"/>
      </w:tabs>
      <w:snapToGrid w:val="0"/>
      <w:jc w:val="left"/>
    </w:pPr>
    <w:rPr>
      <w:sz w:val="18"/>
      <w:szCs w:val="18"/>
    </w:rPr>
  </w:style>
  <w:style w:type="character" w:customStyle="1" w:styleId="Char0">
    <w:name w:val="页脚 Char"/>
    <w:basedOn w:val="a0"/>
    <w:link w:val="a4"/>
    <w:uiPriority w:val="99"/>
    <w:rsid w:val="00856019"/>
    <w:rPr>
      <w:sz w:val="18"/>
      <w:szCs w:val="18"/>
    </w:rPr>
  </w:style>
  <w:style w:type="paragraph" w:styleId="a5">
    <w:name w:val="List Paragraph"/>
    <w:basedOn w:val="a"/>
    <w:uiPriority w:val="34"/>
    <w:qFormat/>
    <w:rsid w:val="008560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559937/559937.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aike.baidu.com/subview/559937/55993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822</Characters>
  <Application>Microsoft Office Word</Application>
  <DocSecurity>0</DocSecurity>
  <Lines>6</Lines>
  <Paragraphs>1</Paragraphs>
  <ScaleCrop>false</ScaleCrop>
  <Company>CFDA</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2016-11-10T12:30:00Z</dcterms:created>
  <dcterms:modified xsi:type="dcterms:W3CDTF">2016-11-10T12:30:00Z</dcterms:modified>
</cp:coreProperties>
</file>