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5" w:rsidRDefault="00EA4EB5" w:rsidP="00EA4EB5">
      <w:pPr>
        <w:tabs>
          <w:tab w:val="left" w:pos="7200"/>
          <w:tab w:val="left" w:pos="7380"/>
          <w:tab w:val="left" w:pos="7560"/>
        </w:tabs>
        <w:ind w:leftChars="1" w:left="1548" w:hangingChars="483" w:hanging="1546"/>
        <w:rPr>
          <w:rFonts w:ascii="黑体" w:eastAsia="黑体" w:hAnsi="黑体"/>
          <w:sz w:val="32"/>
          <w:szCs w:val="32"/>
        </w:rPr>
      </w:pPr>
      <w:bookmarkStart w:id="0" w:name="zhengwen"/>
      <w:r>
        <w:rPr>
          <w:rFonts w:ascii="黑体" w:eastAsia="黑体" w:hAnsi="黑体" w:hint="eastAsia"/>
          <w:sz w:val="32"/>
          <w:szCs w:val="32"/>
        </w:rPr>
        <w:t>附件</w:t>
      </w:r>
    </w:p>
    <w:p w:rsidR="00EA4EB5" w:rsidRDefault="00EA4EB5" w:rsidP="00EA4EB5">
      <w:pPr>
        <w:tabs>
          <w:tab w:val="left" w:pos="7200"/>
          <w:tab w:val="left" w:pos="7380"/>
          <w:tab w:val="left" w:pos="7560"/>
        </w:tabs>
        <w:ind w:leftChars="1" w:left="1548" w:hangingChars="483" w:hanging="1546"/>
        <w:rPr>
          <w:rFonts w:ascii="黑体" w:eastAsia="黑体" w:hAnsi="黑体"/>
          <w:sz w:val="32"/>
          <w:szCs w:val="32"/>
        </w:rPr>
      </w:pPr>
    </w:p>
    <w:p w:rsidR="00EA4EB5" w:rsidRPr="00EE45E8" w:rsidRDefault="00EA4EB5" w:rsidP="00EA4EB5">
      <w:pPr>
        <w:tabs>
          <w:tab w:val="left" w:pos="7200"/>
          <w:tab w:val="left" w:pos="7380"/>
          <w:tab w:val="left" w:pos="7560"/>
        </w:tabs>
        <w:ind w:leftChars="1" w:left="2127" w:hangingChars="483" w:hanging="2125"/>
        <w:jc w:val="center"/>
        <w:rPr>
          <w:rFonts w:ascii="方正小标宋简体" w:eastAsia="方正小标宋简体" w:hAnsi="华文仿宋"/>
          <w:sz w:val="44"/>
          <w:szCs w:val="44"/>
        </w:rPr>
      </w:pPr>
      <w:r w:rsidRPr="00EE45E8">
        <w:rPr>
          <w:rFonts w:ascii="方正小标宋简体" w:eastAsia="方正小标宋简体" w:hAnsi="华文仿宋" w:hint="eastAsia"/>
          <w:sz w:val="44"/>
          <w:szCs w:val="44"/>
        </w:rPr>
        <w:t>2016年</w:t>
      </w:r>
      <w:r>
        <w:rPr>
          <w:rFonts w:ascii="方正小标宋简体" w:eastAsia="方正小标宋简体" w:hAnsi="华文仿宋" w:hint="eastAsia"/>
          <w:sz w:val="44"/>
          <w:szCs w:val="44"/>
        </w:rPr>
        <w:t>10</w:t>
      </w:r>
      <w:r w:rsidRPr="00EE45E8">
        <w:rPr>
          <w:rFonts w:ascii="方正小标宋简体" w:eastAsia="方正小标宋简体" w:hAnsi="华文仿宋" w:hint="eastAsia"/>
          <w:sz w:val="44"/>
          <w:szCs w:val="44"/>
        </w:rPr>
        <w:t>月份已批准药品上市品种目录</w:t>
      </w:r>
    </w:p>
    <w:tbl>
      <w:tblPr>
        <w:tblW w:w="15440" w:type="dxa"/>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
        <w:gridCol w:w="574"/>
        <w:gridCol w:w="764"/>
        <w:gridCol w:w="1516"/>
        <w:gridCol w:w="1256"/>
        <w:gridCol w:w="608"/>
        <w:gridCol w:w="2773"/>
        <w:gridCol w:w="1191"/>
        <w:gridCol w:w="446"/>
        <w:gridCol w:w="931"/>
        <w:gridCol w:w="487"/>
        <w:gridCol w:w="1841"/>
        <w:gridCol w:w="414"/>
        <w:gridCol w:w="1169"/>
        <w:gridCol w:w="386"/>
        <w:gridCol w:w="736"/>
      </w:tblGrid>
      <w:tr w:rsidR="00EA4EB5" w:rsidRPr="00082621" w:rsidTr="00B336EE">
        <w:trPr>
          <w:trHeight w:val="264"/>
          <w:tblHeader/>
          <w:jc w:val="center"/>
        </w:trPr>
        <w:tc>
          <w:tcPr>
            <w:tcW w:w="347"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序号</w:t>
            </w:r>
          </w:p>
        </w:tc>
        <w:tc>
          <w:tcPr>
            <w:tcW w:w="648"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类别</w:t>
            </w:r>
          </w:p>
        </w:tc>
        <w:tc>
          <w:tcPr>
            <w:tcW w:w="900"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品种名称</w:t>
            </w:r>
          </w:p>
        </w:tc>
        <w:tc>
          <w:tcPr>
            <w:tcW w:w="1256"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英文名</w:t>
            </w:r>
          </w:p>
        </w:tc>
        <w:tc>
          <w:tcPr>
            <w:tcW w:w="1256"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规格</w:t>
            </w:r>
          </w:p>
        </w:tc>
        <w:tc>
          <w:tcPr>
            <w:tcW w:w="693"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剂型</w:t>
            </w:r>
          </w:p>
        </w:tc>
        <w:tc>
          <w:tcPr>
            <w:tcW w:w="3393"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适应症</w:t>
            </w:r>
          </w:p>
        </w:tc>
        <w:tc>
          <w:tcPr>
            <w:tcW w:w="1191"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企业</w:t>
            </w:r>
          </w:p>
        </w:tc>
        <w:tc>
          <w:tcPr>
            <w:tcW w:w="478"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新药证书</w:t>
            </w:r>
          </w:p>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持有人</w:t>
            </w:r>
          </w:p>
        </w:tc>
        <w:tc>
          <w:tcPr>
            <w:tcW w:w="931" w:type="dxa"/>
            <w:vMerge w:val="restart"/>
            <w:shd w:val="clear" w:color="auto" w:fill="auto"/>
            <w:vAlign w:val="center"/>
            <w:hideMark/>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批准文号/</w:t>
            </w:r>
          </w:p>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注册证号</w:t>
            </w:r>
          </w:p>
        </w:tc>
        <w:tc>
          <w:tcPr>
            <w:tcW w:w="3611" w:type="dxa"/>
            <w:gridSpan w:val="5"/>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参比制剂</w:t>
            </w:r>
          </w:p>
        </w:tc>
        <w:tc>
          <w:tcPr>
            <w:tcW w:w="736" w:type="dxa"/>
            <w:vMerge w:val="restart"/>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备注</w:t>
            </w:r>
          </w:p>
        </w:tc>
      </w:tr>
      <w:tr w:rsidR="00EA4EB5" w:rsidRPr="00082621" w:rsidTr="00B336EE">
        <w:trPr>
          <w:trHeight w:val="345"/>
          <w:tblHeader/>
          <w:jc w:val="center"/>
        </w:trPr>
        <w:tc>
          <w:tcPr>
            <w:tcW w:w="347"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648"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900"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1256"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1256"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693"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3393"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1191"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478"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931" w:type="dxa"/>
            <w:vMerge/>
            <w:shd w:val="clear" w:color="auto" w:fill="auto"/>
            <w:vAlign w:val="center"/>
          </w:tcPr>
          <w:p w:rsidR="00EA4EB5" w:rsidRPr="008F57B3" w:rsidRDefault="00EA4EB5" w:rsidP="00B336EE">
            <w:pPr>
              <w:widowControl/>
              <w:jc w:val="center"/>
              <w:rPr>
                <w:rFonts w:ascii="宋体" w:hAnsi="宋体" w:cs="宋体"/>
                <w:b/>
                <w:bCs/>
                <w:color w:val="000000"/>
                <w:kern w:val="0"/>
                <w:sz w:val="13"/>
                <w:szCs w:val="13"/>
              </w:rPr>
            </w:pPr>
          </w:p>
        </w:tc>
        <w:tc>
          <w:tcPr>
            <w:tcW w:w="533" w:type="dxa"/>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品种名称</w:t>
            </w:r>
          </w:p>
        </w:tc>
        <w:tc>
          <w:tcPr>
            <w:tcW w:w="996" w:type="dxa"/>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生产企业</w:t>
            </w:r>
          </w:p>
        </w:tc>
        <w:tc>
          <w:tcPr>
            <w:tcW w:w="436" w:type="dxa"/>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国家</w:t>
            </w:r>
          </w:p>
        </w:tc>
        <w:tc>
          <w:tcPr>
            <w:tcW w:w="1247" w:type="dxa"/>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规格</w:t>
            </w:r>
          </w:p>
        </w:tc>
        <w:tc>
          <w:tcPr>
            <w:tcW w:w="399" w:type="dxa"/>
            <w:vAlign w:val="center"/>
          </w:tcPr>
          <w:p w:rsidR="00EA4EB5" w:rsidRPr="008F57B3" w:rsidRDefault="00EA4EB5" w:rsidP="00B336EE">
            <w:pPr>
              <w:widowControl/>
              <w:jc w:val="center"/>
              <w:rPr>
                <w:rFonts w:ascii="宋体" w:hAnsi="宋体" w:cs="宋体"/>
                <w:b/>
                <w:bCs/>
                <w:color w:val="000000"/>
                <w:kern w:val="0"/>
                <w:sz w:val="13"/>
                <w:szCs w:val="13"/>
              </w:rPr>
            </w:pPr>
            <w:r w:rsidRPr="008F57B3">
              <w:rPr>
                <w:rFonts w:ascii="宋体" w:hAnsi="宋体" w:cs="宋体" w:hint="eastAsia"/>
                <w:b/>
                <w:bCs/>
                <w:color w:val="000000"/>
                <w:kern w:val="0"/>
                <w:sz w:val="13"/>
                <w:szCs w:val="13"/>
              </w:rPr>
              <w:t>剂型</w:t>
            </w:r>
          </w:p>
        </w:tc>
        <w:tc>
          <w:tcPr>
            <w:tcW w:w="736" w:type="dxa"/>
            <w:vMerge/>
            <w:vAlign w:val="center"/>
          </w:tcPr>
          <w:p w:rsidR="00EA4EB5" w:rsidRPr="008F57B3" w:rsidRDefault="00EA4EB5" w:rsidP="00B336EE">
            <w:pPr>
              <w:widowControl/>
              <w:jc w:val="center"/>
              <w:rPr>
                <w:rFonts w:ascii="宋体" w:hAnsi="宋体" w:cs="宋体"/>
                <w:b/>
                <w:bCs/>
                <w:color w:val="000000"/>
                <w:kern w:val="0"/>
                <w:sz w:val="13"/>
                <w:szCs w:val="13"/>
              </w:rPr>
            </w:pPr>
          </w:p>
        </w:tc>
      </w:tr>
      <w:tr w:rsidR="00EA4EB5" w:rsidRPr="00082621" w:rsidTr="00B336EE">
        <w:trPr>
          <w:trHeight w:val="72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1</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新药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吸附破伤风疫苗</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Tetanus Vaccine,Adsorbed</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每瓶0.5ml.每1次人用剂量0.5ml,含破伤风类毒素效价不低于40IU</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接种本疫苗后，可刺激机体产生体液免疫应答。用于预防破伤风。</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成都欧林生物科技股份有限公司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国药准字S20160004</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2</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新药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水痘减毒活疫苗</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Varicella Vaccine，Live</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0.5ml/瓶</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接种本疫苗后，可刺激机体产生抗水痘-带状疱疹病毒的免疫力。用于预防水痘。</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上海荣盛生物药业有限公司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国药准字S20160005</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3</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硫酸氢氯吡格雷</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ClopidogrelBiSulfate</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齐鲁制药有限公司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国药准字H20163390</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234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4</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注射用美罗培南</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Meropenem for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0.25g（按C17H25N3O5S计)</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美罗培南适用于成人和儿童由单一或多种对美罗培南敏感的细菌引起的感染：肺炎（包括院内获得性肺炎）、尿路感染、妇科感染（如子宫内膜炎和盆腔炎）、皮肤软组织感染、脑膜炎、败血症。</w:t>
            </w:r>
            <w:r w:rsidRPr="008F57B3">
              <w:rPr>
                <w:rFonts w:ascii="宋体" w:hAnsi="宋体" w:cs="宋体" w:hint="eastAsia"/>
                <w:kern w:val="0"/>
                <w:sz w:val="13"/>
                <w:szCs w:val="13"/>
              </w:rPr>
              <w:br/>
              <w:t>经验性治疗，对成人粒细胞减少症伴发热患者，可单独应用本品或联合抗病毒药或抗真菌药使用。</w:t>
            </w:r>
            <w:r w:rsidRPr="008F57B3">
              <w:rPr>
                <w:rFonts w:ascii="宋体" w:hAnsi="宋体" w:cs="宋体" w:hint="eastAsia"/>
                <w:kern w:val="0"/>
                <w:sz w:val="13"/>
                <w:szCs w:val="13"/>
              </w:rPr>
              <w:br/>
              <w:t>美罗培南单用或与其他抗微生物制剂联合使用可用于治疗多重感染。</w:t>
            </w:r>
            <w:r w:rsidRPr="008F57B3">
              <w:rPr>
                <w:rFonts w:ascii="宋体" w:hAnsi="宋体" w:cs="宋体" w:hint="eastAsia"/>
                <w:kern w:val="0"/>
                <w:sz w:val="13"/>
                <w:szCs w:val="13"/>
              </w:rPr>
              <w:br/>
              <w:t>对于中性粒细胞减少或原发性、继发性免疫缺陷的婴儿患者，目前尚无本品的使用经验。</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山东罗欣药业股份有限公司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国药准字H20163391</w:t>
            </w:r>
          </w:p>
        </w:tc>
        <w:tc>
          <w:tcPr>
            <w:tcW w:w="533"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注射用美罗培南</w:t>
            </w:r>
          </w:p>
        </w:tc>
        <w:tc>
          <w:tcPr>
            <w:tcW w:w="99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日本Dainippon Sumitomo Pharma Co. Ltd.（日本住友制药公司），</w:t>
            </w:r>
          </w:p>
        </w:tc>
        <w:tc>
          <w:tcPr>
            <w:tcW w:w="4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日本</w:t>
            </w:r>
          </w:p>
        </w:tc>
        <w:tc>
          <w:tcPr>
            <w:tcW w:w="1247"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0.5g</w:t>
            </w:r>
          </w:p>
        </w:tc>
        <w:tc>
          <w:tcPr>
            <w:tcW w:w="399"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7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r>
      <w:tr w:rsidR="00EA4EB5" w:rsidRPr="00082621" w:rsidTr="00B336EE">
        <w:trPr>
          <w:trHeight w:val="234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lastRenderedPageBreak/>
              <w:t>5</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注射用美罗培南</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Meropenem for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0.5g（按C17H25N3O5S计)</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美罗培南适用于成人和儿童由单一或多种对美罗培南敏感的细菌引起的感染：肺炎（包括院内获得性肺炎）、尿路感染、妇科感染（如子宫内膜炎和盆腔炎）、皮肤软组织感染、脑膜炎、败血症。</w:t>
            </w:r>
            <w:r w:rsidRPr="008F57B3">
              <w:rPr>
                <w:rFonts w:ascii="宋体" w:hAnsi="宋体" w:cs="宋体" w:hint="eastAsia"/>
                <w:kern w:val="0"/>
                <w:sz w:val="13"/>
                <w:szCs w:val="13"/>
              </w:rPr>
              <w:br/>
              <w:t>经验性治疗，对成人粒细胞减少症伴发热患者，可单独应用本品或联合抗病毒药或抗真菌药使用。</w:t>
            </w:r>
            <w:r w:rsidRPr="008F57B3">
              <w:rPr>
                <w:rFonts w:ascii="宋体" w:hAnsi="宋体" w:cs="宋体" w:hint="eastAsia"/>
                <w:kern w:val="0"/>
                <w:sz w:val="13"/>
                <w:szCs w:val="13"/>
              </w:rPr>
              <w:br/>
              <w:t>美罗培南单用或与其他抗微生物制剂联合使用可用于治疗多重感染。</w:t>
            </w:r>
            <w:r w:rsidRPr="008F57B3">
              <w:rPr>
                <w:rFonts w:ascii="宋体" w:hAnsi="宋体" w:cs="宋体" w:hint="eastAsia"/>
                <w:kern w:val="0"/>
                <w:sz w:val="13"/>
                <w:szCs w:val="13"/>
              </w:rPr>
              <w:br/>
              <w:t>对于中性粒细胞减少或原发性、继发性免疫缺陷的婴儿患者，目前尚无本品的使用经验。</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山东罗欣药业股份有限公司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国药准字H20163392</w:t>
            </w:r>
          </w:p>
        </w:tc>
        <w:tc>
          <w:tcPr>
            <w:tcW w:w="533"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注射用美罗培南</w:t>
            </w:r>
          </w:p>
        </w:tc>
        <w:tc>
          <w:tcPr>
            <w:tcW w:w="99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日本Dainippon Sumitomo Pharma Co. Ltd.（日本住友制药公司），</w:t>
            </w:r>
          </w:p>
        </w:tc>
        <w:tc>
          <w:tcPr>
            <w:tcW w:w="4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日本</w:t>
            </w:r>
          </w:p>
        </w:tc>
        <w:tc>
          <w:tcPr>
            <w:tcW w:w="1247"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0.5g</w:t>
            </w:r>
          </w:p>
        </w:tc>
        <w:tc>
          <w:tcPr>
            <w:tcW w:w="399"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7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6</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氟康唑</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Fluconazole</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河南普瑞制药有限公司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国药准字H20163393</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3240"/>
          <w:jc w:val="center"/>
        </w:trPr>
        <w:tc>
          <w:tcPr>
            <w:tcW w:w="347"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7</w:t>
            </w:r>
          </w:p>
        </w:tc>
        <w:tc>
          <w:tcPr>
            <w:tcW w:w="648"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仿制药</w:t>
            </w:r>
          </w:p>
        </w:tc>
        <w:tc>
          <w:tcPr>
            <w:tcW w:w="900"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注射用盐酸克林霉素</w:t>
            </w:r>
          </w:p>
        </w:tc>
        <w:tc>
          <w:tcPr>
            <w:tcW w:w="1256"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Clindamycin Hydrochloride for Injection</w:t>
            </w:r>
          </w:p>
        </w:tc>
        <w:tc>
          <w:tcPr>
            <w:tcW w:w="1256"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0.3g（按C18H33ClN2O5S计）</w:t>
            </w:r>
          </w:p>
        </w:tc>
        <w:tc>
          <w:tcPr>
            <w:tcW w:w="693"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注射剂</w:t>
            </w:r>
          </w:p>
        </w:tc>
        <w:tc>
          <w:tcPr>
            <w:tcW w:w="3393" w:type="dxa"/>
            <w:shd w:val="clear" w:color="auto" w:fill="auto"/>
            <w:vAlign w:val="center"/>
            <w:hideMark/>
          </w:tcPr>
          <w:p w:rsidR="00EA4EB5" w:rsidRPr="000A0DB1" w:rsidRDefault="00EA4EB5" w:rsidP="00B336EE">
            <w:pPr>
              <w:widowControl/>
              <w:spacing w:after="240"/>
              <w:jc w:val="left"/>
              <w:rPr>
                <w:rFonts w:ascii="宋体" w:hAnsi="宋体" w:cs="宋体"/>
                <w:color w:val="000000"/>
                <w:kern w:val="0"/>
                <w:sz w:val="13"/>
                <w:szCs w:val="13"/>
              </w:rPr>
            </w:pPr>
            <w:r w:rsidRPr="000A0DB1">
              <w:rPr>
                <w:rFonts w:ascii="宋体" w:hAnsi="宋体" w:cs="宋体" w:hint="eastAsia"/>
                <w:color w:val="000000"/>
                <w:kern w:val="0"/>
                <w:sz w:val="13"/>
                <w:szCs w:val="13"/>
              </w:rPr>
              <w:t>敏感革兰阳性菌引起的下列各种感染性疾病：</w:t>
            </w:r>
            <w:r w:rsidRPr="000A0DB1">
              <w:rPr>
                <w:rFonts w:ascii="宋体" w:hAnsi="宋体" w:cs="宋体" w:hint="eastAsia"/>
                <w:color w:val="000000"/>
                <w:kern w:val="0"/>
                <w:sz w:val="13"/>
                <w:szCs w:val="13"/>
              </w:rPr>
              <w:br/>
              <w:t>1.扁桃体炎、化脓性中耳炎、鼻窦炎等。</w:t>
            </w:r>
            <w:r w:rsidRPr="000A0DB1">
              <w:rPr>
                <w:rFonts w:ascii="宋体" w:hAnsi="宋体" w:cs="宋体" w:hint="eastAsia"/>
                <w:color w:val="000000"/>
                <w:kern w:val="0"/>
                <w:sz w:val="13"/>
                <w:szCs w:val="13"/>
              </w:rPr>
              <w:br/>
              <w:t>2.急性支气管炎、慢性支气管炎急性发作、肺炎、肺脓肿和支气管扩张合并感染等。</w:t>
            </w:r>
            <w:r w:rsidRPr="000A0DB1">
              <w:rPr>
                <w:rFonts w:ascii="宋体" w:hAnsi="宋体" w:cs="宋体" w:hint="eastAsia"/>
                <w:color w:val="000000"/>
                <w:kern w:val="0"/>
                <w:sz w:val="13"/>
                <w:szCs w:val="13"/>
              </w:rPr>
              <w:br/>
              <w:t>3.皮肤和软组织感染：疖、痈、脓肿、蜂窝组织炎、创伤、烧伤和手术感染等。</w:t>
            </w:r>
            <w:r w:rsidRPr="000A0DB1">
              <w:rPr>
                <w:rFonts w:ascii="宋体" w:hAnsi="宋体" w:cs="宋体" w:hint="eastAsia"/>
                <w:color w:val="000000"/>
                <w:kern w:val="0"/>
                <w:sz w:val="13"/>
                <w:szCs w:val="13"/>
              </w:rPr>
              <w:br/>
              <w:t>4.泌尿系统感染，急性尿道炎、急性肾盂肾炎、前列腺炎等。</w:t>
            </w:r>
            <w:r w:rsidRPr="000A0DB1">
              <w:rPr>
                <w:rFonts w:ascii="宋体" w:hAnsi="宋体" w:cs="宋体" w:hint="eastAsia"/>
                <w:color w:val="000000"/>
                <w:kern w:val="0"/>
                <w:sz w:val="13"/>
                <w:szCs w:val="13"/>
              </w:rPr>
              <w:br/>
              <w:t>5.其他：脊髓炎、败血症、腹膜炎和口腔感染等。敏感厌氧菌引起的各种感染性疾病：</w:t>
            </w:r>
            <w:r w:rsidRPr="000A0DB1">
              <w:rPr>
                <w:rFonts w:ascii="宋体" w:hAnsi="宋体" w:cs="宋体" w:hint="eastAsia"/>
                <w:color w:val="000000"/>
                <w:kern w:val="0"/>
                <w:sz w:val="13"/>
                <w:szCs w:val="13"/>
              </w:rPr>
              <w:br/>
              <w:t>（1）脓胸、肌脓肿、厌氧菌性肺炎。</w:t>
            </w:r>
            <w:r w:rsidRPr="000A0DB1">
              <w:rPr>
                <w:rFonts w:ascii="宋体" w:hAnsi="宋体" w:cs="宋体" w:hint="eastAsia"/>
                <w:color w:val="000000"/>
                <w:kern w:val="0"/>
                <w:sz w:val="13"/>
                <w:szCs w:val="13"/>
              </w:rPr>
              <w:br/>
              <w:t>（2）皮肤和软组织感染、败血症。</w:t>
            </w:r>
            <w:r w:rsidRPr="000A0DB1">
              <w:rPr>
                <w:rFonts w:ascii="宋体" w:hAnsi="宋体" w:cs="宋体" w:hint="eastAsia"/>
                <w:color w:val="000000"/>
                <w:kern w:val="0"/>
                <w:sz w:val="13"/>
                <w:szCs w:val="13"/>
              </w:rPr>
              <w:br/>
              <w:t>（3）腹腔内感染：腹膜炎、腹腔内脓肿。</w:t>
            </w:r>
            <w:r w:rsidRPr="000A0DB1">
              <w:rPr>
                <w:rFonts w:ascii="宋体" w:hAnsi="宋体" w:cs="宋体" w:hint="eastAsia"/>
                <w:color w:val="000000"/>
                <w:kern w:val="0"/>
                <w:sz w:val="13"/>
                <w:szCs w:val="13"/>
              </w:rPr>
              <w:br/>
              <w:t>（4）女性盆腔及生殖器感染：子宫内膜炎、非淋球菌性输卵管及卵巢脓肿、盆腔蜂窝组织炎及妇科手术后感染等。</w:t>
            </w:r>
          </w:p>
        </w:tc>
        <w:tc>
          <w:tcPr>
            <w:tcW w:w="1191"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苏州天马医药集团天吉生物制药有限公司</w:t>
            </w:r>
          </w:p>
        </w:tc>
        <w:tc>
          <w:tcPr>
            <w:tcW w:w="478"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w:t>
            </w:r>
          </w:p>
        </w:tc>
        <w:tc>
          <w:tcPr>
            <w:tcW w:w="931"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国药准字H20163394</w:t>
            </w:r>
          </w:p>
        </w:tc>
        <w:tc>
          <w:tcPr>
            <w:tcW w:w="533"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注射用盐酸克林霉素</w:t>
            </w:r>
          </w:p>
        </w:tc>
        <w:tc>
          <w:tcPr>
            <w:tcW w:w="996"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安徽省先锋制药</w:t>
            </w:r>
          </w:p>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海南利能康泰制药</w:t>
            </w:r>
          </w:p>
        </w:tc>
        <w:tc>
          <w:tcPr>
            <w:tcW w:w="436"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中国</w:t>
            </w:r>
          </w:p>
        </w:tc>
        <w:tc>
          <w:tcPr>
            <w:tcW w:w="1247"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0.3g</w:t>
            </w:r>
          </w:p>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0.6g</w:t>
            </w:r>
          </w:p>
        </w:tc>
        <w:tc>
          <w:tcPr>
            <w:tcW w:w="399"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冻干粉针剂</w:t>
            </w:r>
          </w:p>
        </w:tc>
        <w:tc>
          <w:tcPr>
            <w:tcW w:w="736"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在本品批准上市3年内需按照国发［2015］44号文件规定进行质量和疗效一致性评价。</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8</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克林霉素磷酸酯</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Clindamycin Phosphate</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重庆福安药业（集团）股份有限公司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国药准字H20163395</w:t>
            </w:r>
          </w:p>
        </w:tc>
        <w:tc>
          <w:tcPr>
            <w:tcW w:w="533"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shd w:val="pct15" w:color="auto" w:fill="FFFFFF"/>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shd w:val="pct15" w:color="auto" w:fill="FFFFFF"/>
              </w:rPr>
            </w:pPr>
            <w:r w:rsidRPr="008F57B3">
              <w:rPr>
                <w:rFonts w:ascii="宋体" w:hAnsi="宋体" w:cs="宋体" w:hint="eastAsia"/>
                <w:kern w:val="0"/>
                <w:sz w:val="13"/>
                <w:szCs w:val="13"/>
              </w:rPr>
              <w:t>－</w:t>
            </w:r>
          </w:p>
        </w:tc>
      </w:tr>
      <w:tr w:rsidR="00EA4EB5" w:rsidRPr="00082621" w:rsidTr="00B336EE">
        <w:trPr>
          <w:trHeight w:val="2160"/>
          <w:jc w:val="center"/>
        </w:trPr>
        <w:tc>
          <w:tcPr>
            <w:tcW w:w="347"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lastRenderedPageBreak/>
              <w:t>9</w:t>
            </w:r>
          </w:p>
        </w:tc>
        <w:tc>
          <w:tcPr>
            <w:tcW w:w="648"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仿制药</w:t>
            </w:r>
          </w:p>
        </w:tc>
        <w:tc>
          <w:tcPr>
            <w:tcW w:w="900"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注射用克林霉素磷酸酯</w:t>
            </w:r>
          </w:p>
        </w:tc>
        <w:tc>
          <w:tcPr>
            <w:tcW w:w="1256"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Clindamycin Phosphate for Injection</w:t>
            </w:r>
          </w:p>
        </w:tc>
        <w:tc>
          <w:tcPr>
            <w:tcW w:w="1256"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0.3g（按C18H33ClN2O5S计）</w:t>
            </w:r>
          </w:p>
        </w:tc>
        <w:tc>
          <w:tcPr>
            <w:tcW w:w="693"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注射剂</w:t>
            </w:r>
          </w:p>
        </w:tc>
        <w:tc>
          <w:tcPr>
            <w:tcW w:w="3393" w:type="dxa"/>
            <w:shd w:val="clear" w:color="auto" w:fill="auto"/>
            <w:vAlign w:val="center"/>
            <w:hideMark/>
          </w:tcPr>
          <w:p w:rsidR="00EA4EB5" w:rsidRPr="000A0DB1" w:rsidRDefault="00EA4EB5" w:rsidP="00B336EE">
            <w:pPr>
              <w:widowControl/>
              <w:jc w:val="left"/>
              <w:rPr>
                <w:rFonts w:ascii="宋体" w:hAnsi="宋体" w:cs="宋体"/>
                <w:color w:val="000000"/>
                <w:kern w:val="0"/>
                <w:sz w:val="13"/>
                <w:szCs w:val="13"/>
              </w:rPr>
            </w:pPr>
            <w:r w:rsidRPr="000A0DB1">
              <w:rPr>
                <w:rFonts w:ascii="宋体" w:hAnsi="宋体" w:cs="宋体" w:hint="eastAsia"/>
                <w:color w:val="000000"/>
                <w:kern w:val="0"/>
                <w:sz w:val="13"/>
                <w:szCs w:val="13"/>
              </w:rPr>
              <w:t xml:space="preserve">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 </w:t>
            </w:r>
            <w:r w:rsidRPr="000A0DB1">
              <w:rPr>
                <w:rFonts w:ascii="宋体" w:hAnsi="宋体" w:cs="宋体" w:hint="eastAsia"/>
                <w:color w:val="000000"/>
                <w:kern w:val="0"/>
                <w:sz w:val="13"/>
                <w:szCs w:val="13"/>
              </w:rPr>
              <w:br/>
              <w:t>应当开展细菌学研究以证明致病病原体以及它们对克林霉素的敏感程度。在实施抗生素疗法的同时，可根据临床情况采取外科治疗等。</w:t>
            </w:r>
          </w:p>
        </w:tc>
        <w:tc>
          <w:tcPr>
            <w:tcW w:w="1191"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福安药业集团庆余堂制药有限公司</w:t>
            </w:r>
          </w:p>
        </w:tc>
        <w:tc>
          <w:tcPr>
            <w:tcW w:w="478"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w:t>
            </w:r>
          </w:p>
        </w:tc>
        <w:tc>
          <w:tcPr>
            <w:tcW w:w="931" w:type="dxa"/>
            <w:shd w:val="clear" w:color="auto" w:fill="auto"/>
            <w:vAlign w:val="center"/>
            <w:hideMark/>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国药准字H20163396</w:t>
            </w:r>
          </w:p>
        </w:tc>
        <w:tc>
          <w:tcPr>
            <w:tcW w:w="533"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克林霉素磷酸酯注射液</w:t>
            </w:r>
          </w:p>
        </w:tc>
        <w:tc>
          <w:tcPr>
            <w:tcW w:w="996"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美国法玛西亚普强公司（辉瑞）公司</w:t>
            </w:r>
          </w:p>
        </w:tc>
        <w:tc>
          <w:tcPr>
            <w:tcW w:w="436"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美国</w:t>
            </w:r>
          </w:p>
        </w:tc>
        <w:tc>
          <w:tcPr>
            <w:tcW w:w="1247" w:type="dxa"/>
            <w:vAlign w:val="center"/>
          </w:tcPr>
          <w:p w:rsidR="00EA4EB5" w:rsidRPr="000A0DB1" w:rsidRDefault="00EA4EB5" w:rsidP="00B336EE">
            <w:pPr>
              <w:widowControl/>
              <w:jc w:val="center"/>
              <w:rPr>
                <w:rFonts w:ascii="宋体" w:hAnsi="宋体" w:cs="宋体"/>
                <w:color w:val="000000"/>
                <w:kern w:val="0"/>
                <w:sz w:val="13"/>
                <w:szCs w:val="13"/>
              </w:rPr>
            </w:pPr>
            <w:r>
              <w:rPr>
                <w:rFonts w:ascii="宋体" w:hAnsi="宋体" w:cs="宋体" w:hint="eastAsia"/>
                <w:color w:val="000000"/>
                <w:kern w:val="0"/>
                <w:sz w:val="13"/>
                <w:szCs w:val="13"/>
              </w:rPr>
              <w:t>150mg/ml,装量为60ml</w:t>
            </w:r>
          </w:p>
        </w:tc>
        <w:tc>
          <w:tcPr>
            <w:tcW w:w="399" w:type="dxa"/>
            <w:vAlign w:val="center"/>
          </w:tcPr>
          <w:p w:rsidR="00EA4EB5" w:rsidRPr="000A0DB1" w:rsidRDefault="00EA4EB5" w:rsidP="00B336EE">
            <w:pPr>
              <w:widowControl/>
              <w:jc w:val="center"/>
              <w:rPr>
                <w:rFonts w:ascii="宋体" w:hAnsi="宋体" w:cs="宋体"/>
                <w:color w:val="000000"/>
                <w:kern w:val="0"/>
                <w:sz w:val="13"/>
                <w:szCs w:val="13"/>
              </w:rPr>
            </w:pPr>
            <w:r w:rsidRPr="000A0DB1">
              <w:rPr>
                <w:rFonts w:ascii="宋体" w:hAnsi="宋体" w:cs="宋体" w:hint="eastAsia"/>
                <w:color w:val="000000"/>
                <w:kern w:val="0"/>
                <w:sz w:val="13"/>
                <w:szCs w:val="13"/>
              </w:rPr>
              <w:t>注射剂</w:t>
            </w:r>
          </w:p>
        </w:tc>
        <w:tc>
          <w:tcPr>
            <w:tcW w:w="736" w:type="dxa"/>
            <w:vAlign w:val="center"/>
          </w:tcPr>
          <w:p w:rsidR="00EA4EB5" w:rsidRPr="008F57B3" w:rsidRDefault="00EA4EB5" w:rsidP="00B336EE">
            <w:pPr>
              <w:widowControl/>
              <w:jc w:val="center"/>
              <w:rPr>
                <w:rFonts w:ascii="宋体" w:hAnsi="宋体" w:cs="宋体"/>
                <w:color w:val="FF0000"/>
                <w:kern w:val="0"/>
                <w:sz w:val="13"/>
                <w:szCs w:val="13"/>
              </w:rPr>
            </w:pPr>
            <w:r w:rsidRPr="008F57B3">
              <w:rPr>
                <w:rFonts w:ascii="宋体" w:hAnsi="宋体" w:cs="宋体" w:hint="eastAsia"/>
                <w:kern w:val="0"/>
                <w:sz w:val="13"/>
                <w:szCs w:val="13"/>
              </w:rPr>
              <w:t>－</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10</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哌拉西林</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Piperacillin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齐鲁天和惠世制药有限公司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国药准字H20163397</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36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11</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甲苯磺酸妥舒沙星</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TosufloxacinTosylate</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湖南天地恒一制药有限公司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国药准字H20163398</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1567"/>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12</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依诺肝素钠注射液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Enoxaparin Sodium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0.4ml:4000AxaIU</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预防静脉血栓栓塞性疾病（预防静脉内血栓形成），特别是与骨科或普外手术有关的血栓形成。</w:t>
            </w:r>
            <w:r w:rsidRPr="008F57B3">
              <w:rPr>
                <w:rFonts w:ascii="宋体" w:hAnsi="宋体" w:cs="宋体" w:hint="eastAsia"/>
                <w:kern w:val="0"/>
                <w:sz w:val="13"/>
                <w:szCs w:val="13"/>
              </w:rPr>
              <w:br/>
              <w:t>治疗已形成的深静脉栓塞，伴或不伴有肺栓塞，临床症状不严重，不包括需要外科手术或溶栓剂治疗的肺栓塞。</w:t>
            </w:r>
            <w:r w:rsidRPr="008F57B3">
              <w:rPr>
                <w:rFonts w:ascii="宋体" w:hAnsi="宋体" w:cs="宋体" w:hint="eastAsia"/>
                <w:kern w:val="0"/>
                <w:sz w:val="13"/>
                <w:szCs w:val="13"/>
              </w:rPr>
              <w:br/>
              <w:t>治疗不稳定性心绞痛及非Q波心肌梗死，与阿司匹林合用。</w:t>
            </w:r>
            <w:r w:rsidRPr="008F57B3">
              <w:rPr>
                <w:rFonts w:ascii="宋体" w:hAnsi="宋体" w:cs="宋体" w:hint="eastAsia"/>
                <w:kern w:val="0"/>
                <w:sz w:val="13"/>
                <w:szCs w:val="13"/>
              </w:rPr>
              <w:br/>
              <w:t>用于血液透析体外循环中，防止血栓形成。</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北京双鹭药业股份有限公司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国药准字H20163399</w:t>
            </w:r>
          </w:p>
        </w:tc>
        <w:tc>
          <w:tcPr>
            <w:tcW w:w="533"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依诺肝素钠注射液</w:t>
            </w:r>
          </w:p>
        </w:tc>
        <w:tc>
          <w:tcPr>
            <w:tcW w:w="99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赛诺菲安万特公司</w:t>
            </w:r>
          </w:p>
        </w:tc>
        <w:tc>
          <w:tcPr>
            <w:tcW w:w="43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法国</w:t>
            </w:r>
          </w:p>
        </w:tc>
        <w:tc>
          <w:tcPr>
            <w:tcW w:w="1247"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0.2ml：2000AxaIU、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0.4ml：4000AxaIU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0.6ml：6000AxaIU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0.8ml：8000AxaIU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1.0ml：10000AxaIU</w:t>
            </w:r>
          </w:p>
          <w:p w:rsidR="00EA4EB5" w:rsidRPr="008F57B3" w:rsidRDefault="00EA4EB5" w:rsidP="00B336EE">
            <w:pPr>
              <w:jc w:val="center"/>
              <w:rPr>
                <w:rFonts w:ascii="宋体" w:hAnsi="宋体" w:cs="宋体"/>
                <w:kern w:val="0"/>
                <w:sz w:val="13"/>
                <w:szCs w:val="13"/>
              </w:rPr>
            </w:pPr>
          </w:p>
        </w:tc>
        <w:tc>
          <w:tcPr>
            <w:tcW w:w="399"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注射剂</w:t>
            </w:r>
          </w:p>
        </w:tc>
        <w:tc>
          <w:tcPr>
            <w:tcW w:w="73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w:t>
            </w:r>
          </w:p>
        </w:tc>
      </w:tr>
      <w:tr w:rsidR="00EA4EB5" w:rsidRPr="00082621" w:rsidTr="00B336EE">
        <w:trPr>
          <w:trHeight w:val="180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13</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依诺肝素钠注射液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Enoxaparin Sodium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1.0ml:10000AxaIU</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预防静脉血栓栓塞性疾病（预防静脉内血栓形成），特别是与骨科或普外手术有关的血栓形成。</w:t>
            </w:r>
            <w:r w:rsidRPr="008F57B3">
              <w:rPr>
                <w:rFonts w:ascii="宋体" w:hAnsi="宋体" w:cs="宋体" w:hint="eastAsia"/>
                <w:kern w:val="0"/>
                <w:sz w:val="13"/>
                <w:szCs w:val="13"/>
              </w:rPr>
              <w:br/>
              <w:t>治疗已形成的深静脉栓塞，伴或不伴有肺栓塞，临床症状不严重，不包括需要外科手术或溶栓剂治疗的肺栓塞。</w:t>
            </w:r>
            <w:r w:rsidRPr="008F57B3">
              <w:rPr>
                <w:rFonts w:ascii="宋体" w:hAnsi="宋体" w:cs="宋体" w:hint="eastAsia"/>
                <w:kern w:val="0"/>
                <w:sz w:val="13"/>
                <w:szCs w:val="13"/>
              </w:rPr>
              <w:br/>
              <w:t>治疗不稳定性心绞痛及非Q波心肌梗死，与阿司匹林合用。</w:t>
            </w:r>
            <w:r w:rsidRPr="008F57B3">
              <w:rPr>
                <w:rFonts w:ascii="宋体" w:hAnsi="宋体" w:cs="宋体" w:hint="eastAsia"/>
                <w:kern w:val="0"/>
                <w:sz w:val="13"/>
                <w:szCs w:val="13"/>
              </w:rPr>
              <w:br/>
              <w:t>用于血液透析体外循环中，防止血栓形成。</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北京双鹭药业股份有限公司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国药准字H20163400</w:t>
            </w:r>
          </w:p>
        </w:tc>
        <w:tc>
          <w:tcPr>
            <w:tcW w:w="533"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依诺肝素钠注射液</w:t>
            </w:r>
          </w:p>
        </w:tc>
        <w:tc>
          <w:tcPr>
            <w:tcW w:w="99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赛诺菲安万特公司</w:t>
            </w:r>
          </w:p>
        </w:tc>
        <w:tc>
          <w:tcPr>
            <w:tcW w:w="43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法国</w:t>
            </w:r>
          </w:p>
        </w:tc>
        <w:tc>
          <w:tcPr>
            <w:tcW w:w="1247"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0.2ml：2000AxaIU、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0.4ml：4000AxaIU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0.6ml：6000AxaIU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0.8ml：8000AxaIU</w:t>
            </w:r>
          </w:p>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1.0ml：10000AxaIU</w:t>
            </w:r>
          </w:p>
          <w:p w:rsidR="00EA4EB5" w:rsidRPr="008F57B3" w:rsidRDefault="00EA4EB5" w:rsidP="00B336EE">
            <w:pPr>
              <w:jc w:val="center"/>
              <w:rPr>
                <w:rFonts w:ascii="宋体" w:hAnsi="宋体" w:cs="宋体"/>
                <w:kern w:val="0"/>
                <w:sz w:val="13"/>
                <w:szCs w:val="13"/>
              </w:rPr>
            </w:pPr>
          </w:p>
        </w:tc>
        <w:tc>
          <w:tcPr>
            <w:tcW w:w="399"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注射剂</w:t>
            </w:r>
          </w:p>
        </w:tc>
        <w:tc>
          <w:tcPr>
            <w:tcW w:w="736" w:type="dxa"/>
            <w:vAlign w:val="center"/>
          </w:tcPr>
          <w:p w:rsidR="00EA4EB5" w:rsidRPr="008F57B3" w:rsidRDefault="00EA4EB5" w:rsidP="00B336EE">
            <w:pPr>
              <w:jc w:val="center"/>
              <w:rPr>
                <w:rFonts w:ascii="宋体" w:hAnsi="宋体" w:cs="宋体"/>
                <w:kern w:val="0"/>
                <w:sz w:val="13"/>
                <w:szCs w:val="13"/>
              </w:rPr>
            </w:pPr>
            <w:r w:rsidRPr="008F57B3">
              <w:rPr>
                <w:rFonts w:ascii="宋体" w:hAnsi="宋体" w:cs="宋体" w:hint="eastAsia"/>
                <w:kern w:val="0"/>
                <w:sz w:val="13"/>
                <w:szCs w:val="13"/>
              </w:rPr>
              <w:t>－</w:t>
            </w:r>
          </w:p>
        </w:tc>
      </w:tr>
      <w:tr w:rsidR="00EA4EB5" w:rsidRPr="00082621" w:rsidTr="00B336EE">
        <w:trPr>
          <w:trHeight w:val="54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14</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枸橼酸咖啡因注射液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Caffeine Citrate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1ml:20mg（相当于C8H10N4O2 10mg）</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用于治疗早产新生儿原发性呼吸暂停。</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成都苑东生物制药股份有限公司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国药准字H20163401</w:t>
            </w:r>
          </w:p>
        </w:tc>
        <w:tc>
          <w:tcPr>
            <w:tcW w:w="533"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枸橼酸咖啡因注射液</w:t>
            </w:r>
          </w:p>
        </w:tc>
        <w:tc>
          <w:tcPr>
            <w:tcW w:w="99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kern w:val="0"/>
                <w:sz w:val="13"/>
                <w:szCs w:val="13"/>
              </w:rPr>
              <w:t>意大利凯西制药公司</w:t>
            </w:r>
          </w:p>
          <w:p w:rsidR="00EA4EB5" w:rsidRPr="008F57B3" w:rsidRDefault="00EA4EB5" w:rsidP="00B336EE">
            <w:pPr>
              <w:widowControl/>
              <w:jc w:val="center"/>
              <w:rPr>
                <w:rFonts w:ascii="宋体" w:hAnsi="宋体" w:cs="宋体"/>
                <w:kern w:val="0"/>
                <w:sz w:val="13"/>
                <w:szCs w:val="13"/>
              </w:rPr>
            </w:pPr>
            <w:r w:rsidRPr="008F57B3">
              <w:rPr>
                <w:rFonts w:ascii="宋体" w:hAnsi="宋体"/>
                <w:sz w:val="13"/>
                <w:szCs w:val="13"/>
              </w:rPr>
              <w:t>（ChiesiFarmaceuticiSpA）</w:t>
            </w:r>
          </w:p>
        </w:tc>
        <w:tc>
          <w:tcPr>
            <w:tcW w:w="436" w:type="dxa"/>
            <w:vAlign w:val="center"/>
          </w:tcPr>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r w:rsidRPr="008F57B3">
              <w:rPr>
                <w:rFonts w:ascii="宋体" w:hAnsi="宋体" w:cs="宋体"/>
                <w:kern w:val="0"/>
                <w:sz w:val="13"/>
                <w:szCs w:val="13"/>
              </w:rPr>
              <w:t>意大利</w:t>
            </w:r>
          </w:p>
        </w:tc>
        <w:tc>
          <w:tcPr>
            <w:tcW w:w="1247" w:type="dxa"/>
            <w:vAlign w:val="center"/>
          </w:tcPr>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r w:rsidRPr="008F57B3">
              <w:rPr>
                <w:rFonts w:ascii="宋体" w:hAnsi="宋体" w:cs="宋体"/>
                <w:kern w:val="0"/>
                <w:sz w:val="13"/>
                <w:szCs w:val="13"/>
              </w:rPr>
              <w:t>1ml:20mg</w:t>
            </w:r>
          </w:p>
        </w:tc>
        <w:tc>
          <w:tcPr>
            <w:tcW w:w="399" w:type="dxa"/>
            <w:vAlign w:val="center"/>
          </w:tcPr>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p>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注射</w:t>
            </w:r>
            <w:r w:rsidRPr="008F57B3">
              <w:rPr>
                <w:rFonts w:ascii="宋体" w:hAnsi="宋体" w:cs="宋体" w:hint="eastAsia"/>
                <w:kern w:val="0"/>
                <w:sz w:val="13"/>
                <w:szCs w:val="13"/>
              </w:rPr>
              <w:lastRenderedPageBreak/>
              <w:t>剂</w:t>
            </w:r>
          </w:p>
        </w:tc>
        <w:tc>
          <w:tcPr>
            <w:tcW w:w="7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lastRenderedPageBreak/>
              <w:t>－</w:t>
            </w:r>
          </w:p>
        </w:tc>
      </w:tr>
      <w:tr w:rsidR="00EA4EB5" w:rsidRPr="00082621" w:rsidTr="00B336EE">
        <w:trPr>
          <w:trHeight w:val="586"/>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lastRenderedPageBreak/>
              <w:t>15</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恩曲他滨</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Emtricitabine</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安徽贝克联合制药有限公司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国药准字H20163402</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551"/>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16</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仿制药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依诺肝素钠</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Enoxaparin Sodium</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北京双鹭药业股份有限公司</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国药准字H20163403</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702"/>
          <w:jc w:val="center"/>
        </w:trPr>
        <w:tc>
          <w:tcPr>
            <w:tcW w:w="347"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17</w:t>
            </w:r>
          </w:p>
        </w:tc>
        <w:tc>
          <w:tcPr>
            <w:tcW w:w="64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波生坦</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Bosentan</w:t>
            </w:r>
          </w:p>
        </w:tc>
        <w:tc>
          <w:tcPr>
            <w:tcW w:w="1256"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kern w:val="0"/>
                <w:sz w:val="13"/>
                <w:szCs w:val="13"/>
              </w:rPr>
            </w:pPr>
            <w:r w:rsidRPr="008F57B3">
              <w:rPr>
                <w:rFonts w:ascii="宋体" w:hAnsi="宋体" w:cs="宋体" w:hint="eastAsia"/>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Helsinn Advanced Synthesis SA</w:t>
            </w:r>
          </w:p>
        </w:tc>
        <w:tc>
          <w:tcPr>
            <w:tcW w:w="478"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H20160537</w:t>
            </w:r>
          </w:p>
        </w:tc>
        <w:tc>
          <w:tcPr>
            <w:tcW w:w="533"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kern w:val="0"/>
                <w:sz w:val="13"/>
                <w:szCs w:val="13"/>
              </w:rPr>
            </w:pPr>
            <w:r w:rsidRPr="008F57B3">
              <w:rPr>
                <w:rFonts w:ascii="宋体" w:hAnsi="宋体" w:cs="宋体" w:hint="eastAsia"/>
                <w:kern w:val="0"/>
                <w:sz w:val="13"/>
                <w:szCs w:val="13"/>
              </w:rPr>
              <w:t>－</w:t>
            </w:r>
          </w:p>
        </w:tc>
      </w:tr>
      <w:tr w:rsidR="00EA4EB5" w:rsidRPr="00082621" w:rsidTr="00B336EE">
        <w:trPr>
          <w:trHeight w:val="556"/>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18</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兰索拉唑</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Lansoprazole</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原料药</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原料药</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Metrochem API Pvt. Ltd.</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H20160538</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2232"/>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19</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托珠单抗注射液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Tocilizumab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400mg/20ml/瓶</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类风湿关节炎（RA）</w:t>
            </w:r>
            <w:r w:rsidRPr="008F57B3">
              <w:rPr>
                <w:rFonts w:ascii="宋体" w:hAnsi="宋体" w:cs="宋体" w:hint="eastAsia"/>
                <w:color w:val="000000"/>
                <w:kern w:val="0"/>
                <w:sz w:val="13"/>
                <w:szCs w:val="13"/>
              </w:rPr>
              <w:br/>
              <w:t>本品用于治疗对改善病情的抗风湿药物（DMARDs）治疗应答不足的中到重度活动性类风湿关节炎的成年患者。托珠单抗与甲氨蝶呤（MTX）或其他DMARDs联用。</w:t>
            </w:r>
            <w:r w:rsidRPr="008F57B3">
              <w:rPr>
                <w:rFonts w:ascii="宋体" w:hAnsi="宋体" w:cs="宋体" w:hint="eastAsia"/>
                <w:color w:val="000000"/>
                <w:kern w:val="0"/>
                <w:sz w:val="13"/>
                <w:szCs w:val="13"/>
              </w:rPr>
              <w:br/>
              <w:t>全身型幼年特发性关节炎（sJIA）</w:t>
            </w:r>
            <w:r w:rsidRPr="008F57B3">
              <w:rPr>
                <w:rFonts w:ascii="宋体" w:hAnsi="宋体" w:cs="宋体" w:hint="eastAsia"/>
                <w:color w:val="000000"/>
                <w:kern w:val="0"/>
                <w:sz w:val="13"/>
                <w:szCs w:val="13"/>
              </w:rPr>
              <w:br/>
              <w:t>本品用于治疗此前经非甾体抗炎药（NSAIDs）和糖皮质激素治疗应答不足的2岁或2岁以上儿童的活动性全身型幼年特发性关节炎（sJIA），可作为单药治疗（对甲氨蝶呤不耐受或不宜接受甲氨蝶呤治疗）或者与甲氨蝶呤联合使用。</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Chugai Pharma Manufacturing Co., Ltd.</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增加新适应症(S20130022)</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2003"/>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20</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托珠单抗注射液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Tocilizumab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200mg/10ml/瓶</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类风湿关节炎（RA）</w:t>
            </w:r>
            <w:r w:rsidRPr="008F57B3">
              <w:rPr>
                <w:rFonts w:ascii="宋体" w:hAnsi="宋体" w:cs="宋体" w:hint="eastAsia"/>
                <w:color w:val="000000"/>
                <w:kern w:val="0"/>
                <w:sz w:val="13"/>
                <w:szCs w:val="13"/>
              </w:rPr>
              <w:br/>
              <w:t>本品用于治疗对改善病情的抗风湿药物（DMARDs）治疗应答不足的中到重度活动性类风湿关节炎的成年患者。托珠单抗与甲氨蝶呤（MTX）或其他DMARDs联用。</w:t>
            </w:r>
            <w:r w:rsidRPr="008F57B3">
              <w:rPr>
                <w:rFonts w:ascii="宋体" w:hAnsi="宋体" w:cs="宋体" w:hint="eastAsia"/>
                <w:color w:val="000000"/>
                <w:kern w:val="0"/>
                <w:sz w:val="13"/>
                <w:szCs w:val="13"/>
              </w:rPr>
              <w:br/>
              <w:t>全身型幼年特发性关节炎（sJIA）</w:t>
            </w:r>
            <w:r w:rsidRPr="008F57B3">
              <w:rPr>
                <w:rFonts w:ascii="宋体" w:hAnsi="宋体" w:cs="宋体" w:hint="eastAsia"/>
                <w:color w:val="000000"/>
                <w:kern w:val="0"/>
                <w:sz w:val="13"/>
                <w:szCs w:val="13"/>
              </w:rPr>
              <w:br/>
              <w:t>本品用于治疗此前经非甾体抗炎药（NSAIDs）和糖皮质激素治疗应答不足的2岁或2岁以上儿童的活动性全身型幼年特发性关节炎（sJIA），可作为单药治疗（对甲氨蝶呤不耐受或不宜接受甲氨蝶呤治疗）或者与甲氨蝶呤联合使用。</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Chugai Pharma Manufacturing Co., Ltd.</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增加新适应症(S20130021)</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234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lastRenderedPageBreak/>
              <w:t>21</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托珠单抗注射液</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Tocilizumab Injection</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80mg/4ml/瓶</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类风湿关节炎（RA）</w:t>
            </w:r>
            <w:r w:rsidRPr="008F57B3">
              <w:rPr>
                <w:rFonts w:ascii="宋体" w:hAnsi="宋体" w:cs="宋体" w:hint="eastAsia"/>
                <w:color w:val="000000"/>
                <w:kern w:val="0"/>
                <w:sz w:val="13"/>
                <w:szCs w:val="13"/>
              </w:rPr>
              <w:br/>
              <w:t>本品用于治疗对改善病情的抗风湿药物（DMARDs）治疗应答不足的中到重度活动性类风湿关节炎的成年患者。托珠单抗与甲氨蝶呤（MTX）或其他DMARDs联用。</w:t>
            </w:r>
            <w:r w:rsidRPr="008F57B3">
              <w:rPr>
                <w:rFonts w:ascii="宋体" w:hAnsi="宋体" w:cs="宋体" w:hint="eastAsia"/>
                <w:color w:val="000000"/>
                <w:kern w:val="0"/>
                <w:sz w:val="13"/>
                <w:szCs w:val="13"/>
              </w:rPr>
              <w:br/>
              <w:t>全身型幼年特发性关节炎（sJIA）</w:t>
            </w:r>
            <w:r w:rsidRPr="008F57B3">
              <w:rPr>
                <w:rFonts w:ascii="宋体" w:hAnsi="宋体" w:cs="宋体" w:hint="eastAsia"/>
                <w:color w:val="000000"/>
                <w:kern w:val="0"/>
                <w:sz w:val="13"/>
                <w:szCs w:val="13"/>
              </w:rPr>
              <w:br/>
              <w:t>本品用于治疗此前经非甾体抗炎药（NSAIDs）和糖皮质激素治疗应答不足的2岁或2岁以上儿童的活动性全身型幼年特发性关节炎（sJIA），可作为单药治疗（对甲氨蝶呤不耐受或不宜接受甲氨蝶呤治疗）或者与甲氨蝶呤联合使用。</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Chugai Pharma Manufacturing Co., Ltd.</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增加新适应症(S20130020)</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r w:rsidR="00EA4EB5" w:rsidRPr="00082621" w:rsidTr="00B336EE">
        <w:trPr>
          <w:trHeight w:val="1980"/>
          <w:jc w:val="center"/>
        </w:trPr>
        <w:tc>
          <w:tcPr>
            <w:tcW w:w="347"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22</w:t>
            </w:r>
          </w:p>
        </w:tc>
        <w:tc>
          <w:tcPr>
            <w:tcW w:w="64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进口药</w:t>
            </w:r>
          </w:p>
        </w:tc>
        <w:tc>
          <w:tcPr>
            <w:tcW w:w="900"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13价肺炎球菌多糖结合疫苗</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13-valent Pneumococcal Polysaccharide Conjugate Vaccine</w:t>
            </w:r>
          </w:p>
        </w:tc>
        <w:tc>
          <w:tcPr>
            <w:tcW w:w="1256"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0.5 mL/支</w:t>
            </w:r>
          </w:p>
        </w:tc>
        <w:tc>
          <w:tcPr>
            <w:tcW w:w="693"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注射剂</w:t>
            </w:r>
          </w:p>
        </w:tc>
        <w:tc>
          <w:tcPr>
            <w:tcW w:w="3393" w:type="dxa"/>
            <w:shd w:val="clear" w:color="auto" w:fill="auto"/>
            <w:vAlign w:val="center"/>
            <w:hideMark/>
          </w:tcPr>
          <w:p w:rsidR="00EA4EB5" w:rsidRPr="008F57B3" w:rsidRDefault="00EA4EB5" w:rsidP="00B336EE">
            <w:pPr>
              <w:widowControl/>
              <w:jc w:val="left"/>
              <w:rPr>
                <w:rFonts w:ascii="宋体" w:hAnsi="宋体" w:cs="宋体"/>
                <w:color w:val="000000"/>
                <w:kern w:val="0"/>
                <w:sz w:val="13"/>
                <w:szCs w:val="13"/>
              </w:rPr>
            </w:pPr>
            <w:r w:rsidRPr="008F57B3">
              <w:rPr>
                <w:rFonts w:ascii="宋体" w:hAnsi="宋体" w:cs="宋体" w:hint="eastAsia"/>
                <w:color w:val="000000"/>
                <w:kern w:val="0"/>
                <w:sz w:val="13"/>
                <w:szCs w:val="13"/>
              </w:rPr>
              <w:t>本品接种用于婴幼儿的主动免疫，以预防由肺炎球菌血清型1、3、4、5、6A、6B、7F、9V、14、18C、19A、19F和23F引起的侵袭性疾病（包括菌血症性肺炎、脑膜炎、败血症和菌血症等）。肺炎链球菌是引起侵袭性疾病以及肺炎和上呼吸道感染的最常见病因。</w:t>
            </w:r>
            <w:r w:rsidRPr="008F57B3">
              <w:rPr>
                <w:rFonts w:ascii="宋体" w:hAnsi="宋体" w:cs="宋体" w:hint="eastAsia"/>
                <w:color w:val="000000"/>
                <w:kern w:val="0"/>
                <w:sz w:val="13"/>
                <w:szCs w:val="13"/>
              </w:rPr>
              <w:br/>
              <w:t>本品只能对该疫苗所含肺炎球菌血清型具有预防保护作用，不能预防本品以外的血清型别和其他微生物导致的侵袭性疾病、肺炎或中耳炎。</w:t>
            </w:r>
          </w:p>
        </w:tc>
        <w:tc>
          <w:tcPr>
            <w:tcW w:w="119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Pfizer Ireland Pharmaceuticals</w:t>
            </w:r>
          </w:p>
        </w:tc>
        <w:tc>
          <w:tcPr>
            <w:tcW w:w="478"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w:t>
            </w:r>
          </w:p>
        </w:tc>
        <w:tc>
          <w:tcPr>
            <w:tcW w:w="931" w:type="dxa"/>
            <w:shd w:val="clear" w:color="auto" w:fill="auto"/>
            <w:vAlign w:val="center"/>
            <w:hideMark/>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color w:val="000000"/>
                <w:kern w:val="0"/>
                <w:sz w:val="13"/>
                <w:szCs w:val="13"/>
              </w:rPr>
              <w:t>S20160042</w:t>
            </w:r>
          </w:p>
        </w:tc>
        <w:tc>
          <w:tcPr>
            <w:tcW w:w="533"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99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4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1247"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399"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c>
          <w:tcPr>
            <w:tcW w:w="736" w:type="dxa"/>
            <w:vAlign w:val="center"/>
          </w:tcPr>
          <w:p w:rsidR="00EA4EB5" w:rsidRPr="008F57B3" w:rsidRDefault="00EA4EB5" w:rsidP="00B336EE">
            <w:pPr>
              <w:widowControl/>
              <w:jc w:val="center"/>
              <w:rPr>
                <w:rFonts w:ascii="宋体" w:hAnsi="宋体" w:cs="宋体"/>
                <w:color w:val="000000"/>
                <w:kern w:val="0"/>
                <w:sz w:val="13"/>
                <w:szCs w:val="13"/>
              </w:rPr>
            </w:pPr>
            <w:r w:rsidRPr="008F57B3">
              <w:rPr>
                <w:rFonts w:ascii="宋体" w:hAnsi="宋体" w:cs="宋体" w:hint="eastAsia"/>
                <w:kern w:val="0"/>
                <w:sz w:val="13"/>
                <w:szCs w:val="13"/>
              </w:rPr>
              <w:t>－</w:t>
            </w:r>
          </w:p>
        </w:tc>
      </w:tr>
    </w:tbl>
    <w:bookmarkEnd w:id="0"/>
    <w:p w:rsidR="00A73FCC" w:rsidRPr="00EA4EB5" w:rsidRDefault="001A434A">
      <w:pPr>
        <w:rPr>
          <w:rFonts w:ascii="仿宋" w:eastAsia="仿宋" w:hAnsi="仿宋"/>
          <w:sz w:val="28"/>
          <w:szCs w:val="28"/>
        </w:rPr>
      </w:pPr>
      <w:r>
        <w:rPr>
          <w:rFonts w:ascii="仿宋" w:eastAsia="仿宋" w:hAnsi="仿宋"/>
          <w:noProof/>
          <w:sz w:val="28"/>
          <w:szCs w:val="28"/>
        </w:rPr>
        <w:pict>
          <v:line id="直接连接符 1" o:spid="_x0000_s1027" style="position:absolute;left:0;text-align:left;z-index:251661312;visibility:visible;mso-position-horizontal-relative:text;mso-position-vertical-relative:text" from="0,5.4pt" to="44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8LA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" strokeweight="1pt"/>
        </w:pict>
      </w:r>
    </w:p>
    <w:sectPr w:rsidR="00A73FCC" w:rsidRPr="00EA4EB5" w:rsidSect="00972BC7">
      <w:footerReference w:type="even" r:id="rId6"/>
      <w:footerReference w:type="default" r:id="rId7"/>
      <w:pgSz w:w="16838" w:h="11906" w:orient="landscape"/>
      <w:pgMar w:top="1588" w:right="1440" w:bottom="1474" w:left="1440"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82" w:rsidRDefault="00767682" w:rsidP="00EA4EB5">
      <w:r>
        <w:separator/>
      </w:r>
    </w:p>
  </w:endnote>
  <w:endnote w:type="continuationSeparator" w:id="1">
    <w:p w:rsidR="00767682" w:rsidRDefault="00767682" w:rsidP="00EA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B5" w:rsidRDefault="001A434A" w:rsidP="00CE7A0B">
    <w:pPr>
      <w:pStyle w:val="a4"/>
      <w:framePr w:wrap="around" w:vAnchor="text" w:hAnchor="margin" w:xAlign="outside" w:y="1"/>
      <w:rPr>
        <w:rStyle w:val="a5"/>
      </w:rPr>
    </w:pPr>
    <w:r>
      <w:rPr>
        <w:rStyle w:val="a5"/>
      </w:rPr>
      <w:fldChar w:fldCharType="begin"/>
    </w:r>
    <w:r w:rsidR="00EA4EB5">
      <w:rPr>
        <w:rStyle w:val="a5"/>
      </w:rPr>
      <w:instrText xml:space="preserve">PAGE  </w:instrText>
    </w:r>
    <w:r>
      <w:rPr>
        <w:rStyle w:val="a5"/>
      </w:rPr>
      <w:fldChar w:fldCharType="end"/>
    </w:r>
  </w:p>
  <w:p w:rsidR="00EA4EB5" w:rsidRDefault="00EA4EB5"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B5" w:rsidRDefault="00EA4EB5" w:rsidP="002B061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82" w:rsidRDefault="00767682" w:rsidP="00EA4EB5">
      <w:r>
        <w:separator/>
      </w:r>
    </w:p>
  </w:footnote>
  <w:footnote w:type="continuationSeparator" w:id="1">
    <w:p w:rsidR="00767682" w:rsidRDefault="00767682" w:rsidP="00EA4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12D"/>
    <w:rsid w:val="001A434A"/>
    <w:rsid w:val="00237EAE"/>
    <w:rsid w:val="00767682"/>
    <w:rsid w:val="00972BC7"/>
    <w:rsid w:val="00A73FCC"/>
    <w:rsid w:val="00CE112D"/>
    <w:rsid w:val="00EA4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E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4EB5"/>
    <w:rPr>
      <w:sz w:val="18"/>
      <w:szCs w:val="18"/>
    </w:rPr>
  </w:style>
  <w:style w:type="paragraph" w:styleId="a4">
    <w:name w:val="footer"/>
    <w:basedOn w:val="a"/>
    <w:link w:val="Char0"/>
    <w:uiPriority w:val="99"/>
    <w:unhideWhenUsed/>
    <w:rsid w:val="00EA4E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4EB5"/>
    <w:rPr>
      <w:sz w:val="18"/>
      <w:szCs w:val="18"/>
    </w:rPr>
  </w:style>
  <w:style w:type="character" w:styleId="a5">
    <w:name w:val="page number"/>
    <w:basedOn w:val="a0"/>
    <w:rsid w:val="00EA4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E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4EB5"/>
    <w:rPr>
      <w:sz w:val="18"/>
      <w:szCs w:val="18"/>
    </w:rPr>
  </w:style>
  <w:style w:type="paragraph" w:styleId="a4">
    <w:name w:val="footer"/>
    <w:basedOn w:val="a"/>
    <w:link w:val="Char0"/>
    <w:uiPriority w:val="99"/>
    <w:unhideWhenUsed/>
    <w:rsid w:val="00EA4E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4EB5"/>
    <w:rPr>
      <w:sz w:val="18"/>
      <w:szCs w:val="18"/>
    </w:rPr>
  </w:style>
  <w:style w:type="character" w:styleId="a5">
    <w:name w:val="page number"/>
    <w:basedOn w:val="a0"/>
    <w:rsid w:val="00EA4E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743</Words>
  <Characters>4237</Characters>
  <Application>Microsoft Office Word</Application>
  <DocSecurity>0</DocSecurity>
  <Lines>35</Lines>
  <Paragraphs>9</Paragraphs>
  <ScaleCrop>false</ScaleCrop>
  <Company>CFDA</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2016-11-23T06:49:00Z</dcterms:created>
  <dcterms:modified xsi:type="dcterms:W3CDTF">2016-11-23T06:49:00Z</dcterms:modified>
</cp:coreProperties>
</file>